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EOB Extractor — Technical Handoff</w:t>
      </w:r>
    </w:p>
    <w:p/>
    <w:p>
      <w:r>
        <w:t>Project: eob-extractor</w:t>
      </w:r>
    </w:p>
    <w:p>
      <w:r>
        <w:t>Date: 2026-06-08</w:t>
      </w:r>
    </w:p>
    <w:p>
      <w:r>
        <w:t>Status: Production-ready (audit findings tracked below)</w:t>
      </w:r>
    </w:p>
    <w:p>
      <w:r>
        <w:t>Owner: engineering</w:t>
      </w:r>
    </w:p>
    <w:p>
      <w:r>
        <w:t>Compliance: HIPAA</w:t>
      </w:r>
    </w:p>
    <w:p/>
    <w:p>
      <w:r>
        <w:t>────────────────────────────────────────────────────────────</w:t>
      </w:r>
    </w:p>
    <w:p/>
    <w:p>
      <w:pPr>
        <w:pStyle w:val="Heading2"/>
      </w:pPr>
      <w:r>
        <w:t>1. Overview</w:t>
      </w:r>
    </w:p>
    <w:p/>
    <w:p>
      <w:r>
        <w:t>EOB Extractor is a serverless pipeline that automatically extracts insurance company and arbitration contact information from Explanation of Benefits (EOB) PDF documents. It ingests PDFs uploaded to S3, classifies them using Amazon Bedrock, extracts structured data, validates it against a Zod schema and business rules, cross-references an existing insurance contact database, and stores results in DynamoDB. Low-confidence extractions are routed to a human review queue.</w:t>
      </w:r>
    </w:p>
    <w:p/>
    <w:p>
      <w:r>
        <w:t>Purpose: Remove manual data-entry for arbitration contact discovery across EOB documents uploaded via the ClickUp integration.</w:t>
      </w:r>
    </w:p>
    <w:p/>
    <w:p>
      <w:r>
        <w:t>────────────────────────────────────────────────────────────</w:t>
      </w:r>
    </w:p>
    <w:p/>
    <w:p>
      <w:pPr>
        <w:pStyle w:val="Heading2"/>
      </w:pPr>
      <w:r>
        <w:t>2. Repository Structure</w:t>
      </w:r>
    </w:p>
    <w:p/>
    <w:p>
      <w:pPr>
        <w:pStyle w:val="NoSpacing"/>
      </w:pPr>
    </w:p>
    <w:p>
      <w:pPr>
        <w:pStyle w:val="NoSpacing"/>
      </w:pPr>
      <w:r>
        <w:rPr>
          <w:rFonts w:ascii="Courier New" w:hAnsi="Courier New"/>
          <w:sz w:val="16"/>
        </w:rPr>
        <w:t>eob-extractor/</w:t>
      </w:r>
    </w:p>
    <w:p>
      <w:pPr>
        <w:pStyle w:val="NoSpacing"/>
      </w:pPr>
      <w:r>
        <w:rPr>
          <w:rFonts w:ascii="Courier New" w:hAnsi="Courier New"/>
          <w:sz w:val="16"/>
        </w:rPr>
        <w:t>├── src/</w:t>
      </w:r>
    </w:p>
    <w:p>
      <w:pPr>
        <w:pStyle w:val="NoSpacing"/>
      </w:pPr>
      <w:r>
        <w:rPr>
          <w:rFonts w:ascii="Courier New" w:hAnsi="Courier New"/>
          <w:sz w:val="16"/>
        </w:rPr>
        <w:t>│   ├── domain/</w:t>
      </w:r>
    </w:p>
    <w:p>
      <w:pPr>
        <w:pStyle w:val="NoSpacing"/>
      </w:pPr>
      <w:r>
        <w:rPr>
          <w:rFonts w:ascii="Courier New" w:hAnsi="Courier New"/>
          <w:sz w:val="16"/>
        </w:rPr>
        <w:t>│   │   ├── entities/eob-extraction.ts          # EobExtraction aggregate root</w:t>
      </w:r>
    </w:p>
    <w:p>
      <w:pPr>
        <w:pStyle w:val="NoSpacing"/>
      </w:pPr>
      <w:r>
        <w:rPr>
          <w:rFonts w:ascii="Courier New" w:hAnsi="Courier New"/>
          <w:sz w:val="16"/>
        </w:rPr>
        <w:t>│   │   ├── repositories/eob-extraction.repository.ts</w:t>
      </w:r>
    </w:p>
    <w:p>
      <w:pPr>
        <w:pStyle w:val="NoSpacing"/>
      </w:pPr>
      <w:r>
        <w:rPr>
          <w:rFonts w:ascii="Courier New" w:hAnsi="Courier New"/>
          <w:sz w:val="16"/>
        </w:rPr>
        <w:t>│   │   └── value-objects/</w:t>
      </w:r>
    </w:p>
    <w:p>
      <w:pPr>
        <w:pStyle w:val="NoSpacing"/>
      </w:pPr>
      <w:r>
        <w:rPr>
          <w:rFonts w:ascii="Courier New" w:hAnsi="Courier New"/>
          <w:sz w:val="16"/>
        </w:rPr>
        <w:t>│   │       ├── confidence-score.ts             # HIGH&gt;=0.85, MEDIUM&gt;=0.50, LOW&lt;0.50</w:t>
      </w:r>
    </w:p>
    <w:p>
      <w:pPr>
        <w:pStyle w:val="NoSpacing"/>
      </w:pPr>
      <w:r>
        <w:rPr>
          <w:rFonts w:ascii="Courier New" w:hAnsi="Courier New"/>
          <w:sz w:val="16"/>
        </w:rPr>
        <w:t>│   │       └── extraction-status.ts            # EXTRACTED | REVIEW_PENDING | FAILED</w:t>
      </w:r>
    </w:p>
    <w:p>
      <w:pPr>
        <w:pStyle w:val="NoSpacing"/>
      </w:pPr>
      <w:r>
        <w:rPr>
          <w:rFonts w:ascii="Courier New" w:hAnsi="Courier New"/>
          <w:sz w:val="16"/>
        </w:rPr>
        <w:t>│   ├── application/</w:t>
      </w:r>
    </w:p>
    <w:p>
      <w:pPr>
        <w:pStyle w:val="NoSpacing"/>
      </w:pPr>
      <w:r>
        <w:rPr>
          <w:rFonts w:ascii="Courier New" w:hAnsi="Courier New"/>
          <w:sz w:val="16"/>
        </w:rPr>
        <w:t>│   │   ├── prompts/</w:t>
      </w:r>
    </w:p>
    <w:p>
      <w:pPr>
        <w:pStyle w:val="NoSpacing"/>
      </w:pPr>
      <w:r>
        <w:rPr>
          <w:rFonts w:ascii="Courier New" w:hAnsi="Courier New"/>
          <w:sz w:val="16"/>
        </w:rPr>
        <w:t>│   │   │   ├── classify-prompt.ts              # EOB_CLASSIFICATION_SYSTEM_PROMPT</w:t>
      </w:r>
    </w:p>
    <w:p>
      <w:pPr>
        <w:pStyle w:val="NoSpacing"/>
      </w:pPr>
      <w:r>
        <w:rPr>
          <w:rFonts w:ascii="Courier New" w:hAnsi="Courier New"/>
          <w:sz w:val="16"/>
        </w:rPr>
        <w:t>│   │   │   ├── extract-prompt.ts               # buildExtractionUserPrompt()</w:t>
      </w:r>
    </w:p>
    <w:p>
      <w:pPr>
        <w:pStyle w:val="NoSpacing"/>
      </w:pPr>
      <w:r>
        <w:rPr>
          <w:rFonts w:ascii="Courier New" w:hAnsi="Courier New"/>
          <w:sz w:val="16"/>
        </w:rPr>
        <w:t>│   │   │   └── system-prompt.ts</w:t>
      </w:r>
    </w:p>
    <w:p>
      <w:pPr>
        <w:pStyle w:val="NoSpacing"/>
      </w:pPr>
      <w:r>
        <w:rPr>
          <w:rFonts w:ascii="Courier New" w:hAnsi="Courier New"/>
          <w:sz w:val="16"/>
        </w:rPr>
        <w:t>│   │   ├── schemas/eob-extraction.schema.ts    # Zod v4 output schema</w:t>
      </w:r>
    </w:p>
    <w:p>
      <w:pPr>
        <w:pStyle w:val="NoSpacing"/>
      </w:pPr>
      <w:r>
        <w:rPr>
          <w:rFonts w:ascii="Courier New" w:hAnsi="Courier New"/>
          <w:sz w:val="16"/>
        </w:rPr>
        <w:t>│   │   └── validation/business-rules.ts</w:t>
      </w:r>
    </w:p>
    <w:p>
      <w:pPr>
        <w:pStyle w:val="NoSpacing"/>
      </w:pPr>
      <w:r>
        <w:rPr>
          <w:rFonts w:ascii="Courier New" w:hAnsi="Courier New"/>
          <w:sz w:val="16"/>
        </w:rPr>
        <w:t>│   ├── infrastructure/</w:t>
      </w:r>
    </w:p>
    <w:p>
      <w:pPr>
        <w:pStyle w:val="NoSpacing"/>
      </w:pPr>
      <w:r>
        <w:rPr>
          <w:rFonts w:ascii="Courier New" w:hAnsi="Courier New"/>
          <w:sz w:val="16"/>
        </w:rPr>
        <w:t>│   │   ├── bedrock/</w:t>
      </w:r>
    </w:p>
    <w:p>
      <w:pPr>
        <w:pStyle w:val="NoSpacing"/>
      </w:pPr>
      <w:r>
        <w:rPr>
          <w:rFonts w:ascii="Courier New" w:hAnsi="Courier New"/>
          <w:sz w:val="16"/>
        </w:rPr>
        <w:t>│   │   │   ├── bedrock-client.ts               # invokeModel(), InvokeModelCommand</w:t>
      </w:r>
    </w:p>
    <w:p>
      <w:pPr>
        <w:pStyle w:val="NoSpacing"/>
      </w:pPr>
      <w:r>
        <w:rPr>
          <w:rFonts w:ascii="Courier New" w:hAnsi="Courier New"/>
          <w:sz w:val="16"/>
        </w:rPr>
        <w:t>│   │   │   └── model-fallback.ts               # CLASSIFY_CHAIN, EXTRACT_CHAIN</w:t>
      </w:r>
    </w:p>
    <w:p>
      <w:pPr>
        <w:pStyle w:val="NoSpacing"/>
      </w:pPr>
      <w:r>
        <w:rPr>
          <w:rFonts w:ascii="Courier New" w:hAnsi="Courier New"/>
          <w:sz w:val="16"/>
        </w:rPr>
        <w:t>│   │   ├── logging/audit-logger.ts             # PHI_FIELDS blocklist, sanitizeS3Key()</w:t>
      </w:r>
    </w:p>
    <w:p>
      <w:pPr>
        <w:pStyle w:val="NoSpacing"/>
      </w:pPr>
      <w:r>
        <w:rPr>
          <w:rFonts w:ascii="Courier New" w:hAnsi="Courier New"/>
          <w:sz w:val="16"/>
        </w:rPr>
        <w:t>│   │   ├── persistence/dynamodb-eob.repository.ts</w:t>
      </w:r>
    </w:p>
    <w:p>
      <w:pPr>
        <w:pStyle w:val="NoSpacing"/>
      </w:pPr>
      <w:r>
        <w:rPr>
          <w:rFonts w:ascii="Courier New" w:hAnsi="Courier New"/>
          <w:sz w:val="16"/>
        </w:rPr>
        <w:t>│   │   └── storage/s3-pdf-reader.ts</w:t>
      </w:r>
    </w:p>
    <w:p>
      <w:pPr>
        <w:pStyle w:val="NoSpacing"/>
      </w:pPr>
      <w:r>
        <w:rPr>
          <w:rFonts w:ascii="Courier New" w:hAnsi="Courier New"/>
          <w:sz w:val="16"/>
        </w:rPr>
        <w:t>│   └── handlers/</w:t>
      </w:r>
    </w:p>
    <w:p>
      <w:pPr>
        <w:pStyle w:val="NoSpacing"/>
      </w:pPr>
      <w:r>
        <w:rPr>
          <w:rFonts w:ascii="Courier New" w:hAnsi="Courier New"/>
          <w:sz w:val="16"/>
        </w:rPr>
        <w:t>│       ├── trigger.handler.ts                  # SQS → SFN start</w:t>
      </w:r>
    </w:p>
    <w:p>
      <w:pPr>
        <w:pStyle w:val="NoSpacing"/>
      </w:pPr>
      <w:r>
        <w:rPr>
          <w:rFonts w:ascii="Courier New" w:hAnsi="Courier New"/>
          <w:sz w:val="16"/>
        </w:rPr>
        <w:t>│       ├── validate-pdf.handler.ts</w:t>
      </w:r>
    </w:p>
    <w:p>
      <w:pPr>
        <w:pStyle w:val="NoSpacing"/>
      </w:pPr>
      <w:r>
        <w:rPr>
          <w:rFonts w:ascii="Courier New" w:hAnsi="Courier New"/>
          <w:sz w:val="16"/>
        </w:rPr>
        <w:t>│       ├── classify-eob.handler.ts</w:t>
      </w:r>
    </w:p>
    <w:p>
      <w:pPr>
        <w:pStyle w:val="NoSpacing"/>
      </w:pPr>
      <w:r>
        <w:rPr>
          <w:rFonts w:ascii="Courier New" w:hAnsi="Courier New"/>
          <w:sz w:val="16"/>
        </w:rPr>
        <w:t>│       ├── extract-eob.handler.ts</w:t>
      </w:r>
    </w:p>
    <w:p>
      <w:pPr>
        <w:pStyle w:val="NoSpacing"/>
      </w:pPr>
      <w:r>
        <w:rPr>
          <w:rFonts w:ascii="Courier New" w:hAnsi="Courier New"/>
          <w:sz w:val="16"/>
        </w:rPr>
        <w:t>│       ├── validate-data.handler.ts</w:t>
      </w:r>
    </w:p>
    <w:p>
      <w:pPr>
        <w:pStyle w:val="NoSpacing"/>
      </w:pPr>
      <w:r>
        <w:rPr>
          <w:rFonts w:ascii="Courier New" w:hAnsi="Courier New"/>
          <w:sz w:val="16"/>
        </w:rPr>
        <w:t>│       ├── lookup-insurance.handler.ts</w:t>
      </w:r>
    </w:p>
    <w:p>
      <w:pPr>
        <w:pStyle w:val="NoSpacing"/>
      </w:pPr>
      <w:r>
        <w:rPr>
          <w:rFonts w:ascii="Courier New" w:hAnsi="Courier New"/>
          <w:sz w:val="16"/>
        </w:rPr>
        <w:t>│       └── store-result.handler.ts</w:t>
      </w:r>
    </w:p>
    <w:p>
      <w:pPr>
        <w:pStyle w:val="NoSpacing"/>
      </w:pPr>
      <w:r>
        <w:rPr>
          <w:rFonts w:ascii="Courier New" w:hAnsi="Courier New"/>
          <w:sz w:val="16"/>
        </w:rPr>
        <w:t>├── lib/</w:t>
      </w:r>
    </w:p>
    <w:p>
      <w:pPr>
        <w:pStyle w:val="NoSpacing"/>
      </w:pPr>
      <w:r>
        <w:rPr>
          <w:rFonts w:ascii="Courier New" w:hAnsi="Courier New"/>
          <w:sz w:val="16"/>
        </w:rPr>
        <w:t>│   ├── eob-extractor-stack.ts                  # CDK root stack</w:t>
      </w:r>
    </w:p>
    <w:p>
      <w:pPr>
        <w:pStyle w:val="NoSpacing"/>
      </w:pPr>
      <w:r>
        <w:rPr>
          <w:rFonts w:ascii="Courier New" w:hAnsi="Courier New"/>
          <w:sz w:val="16"/>
        </w:rPr>
        <w:t>│   └── constructs/</w:t>
      </w:r>
    </w:p>
    <w:p>
      <w:pPr>
        <w:pStyle w:val="NoSpacing"/>
      </w:pPr>
      <w:r>
        <w:rPr>
          <w:rFonts w:ascii="Courier New" w:hAnsi="Courier New"/>
          <w:sz w:val="16"/>
        </w:rPr>
        <w:t>│       ├── storage.construct.ts                # KMS keys, DynamoDB, S3</w:t>
      </w:r>
    </w:p>
    <w:p>
      <w:pPr>
        <w:pStyle w:val="NoSpacing"/>
      </w:pPr>
      <w:r>
        <w:rPr>
          <w:rFonts w:ascii="Courier New" w:hAnsi="Courier New"/>
          <w:sz w:val="16"/>
        </w:rPr>
        <w:t>│       ├── queuing.construct.ts                # SQS ingest/review/DLQ</w:t>
      </w:r>
    </w:p>
    <w:p>
      <w:pPr>
        <w:pStyle w:val="NoSpacing"/>
      </w:pPr>
      <w:r>
        <w:rPr>
          <w:rFonts w:ascii="Courier New" w:hAnsi="Courier New"/>
          <w:sz w:val="16"/>
        </w:rPr>
        <w:t>│       ├── monitoring.construct.ts             # SNS topics, CloudWatch alarms</w:t>
      </w:r>
    </w:p>
    <w:p>
      <w:pPr>
        <w:pStyle w:val="NoSpacing"/>
      </w:pPr>
      <w:r>
        <w:rPr>
          <w:rFonts w:ascii="Courier New" w:hAnsi="Courier New"/>
          <w:sz w:val="16"/>
        </w:rPr>
        <w:t>│       ├── extraction.construct.ts             # Lambda wiring + event sources</w:t>
      </w:r>
    </w:p>
    <w:p>
      <w:pPr>
        <w:pStyle w:val="NoSpacing"/>
      </w:pPr>
      <w:r>
        <w:rPr>
          <w:rFonts w:ascii="Courier New" w:hAnsi="Courier New"/>
          <w:sz w:val="16"/>
        </w:rPr>
        <w:t>│       ├── pipeline-functions.ts               # 6 pipeline Lambda definitions</w:t>
      </w:r>
    </w:p>
    <w:p>
      <w:pPr>
        <w:pStyle w:val="NoSpacing"/>
      </w:pPr>
      <w:r>
        <w:rPr>
          <w:rFonts w:ascii="Courier New" w:hAnsi="Courier New"/>
          <w:sz w:val="16"/>
        </w:rPr>
        <w:t>│       ├── extraction-state-machine.ts         # Step Functions definition</w:t>
      </w:r>
    </w:p>
    <w:p>
      <w:pPr>
        <w:pStyle w:val="NoSpacing"/>
      </w:pPr>
      <w:r>
        <w:rPr>
          <w:rFonts w:ascii="Courier New" w:hAnsi="Courier New"/>
          <w:sz w:val="16"/>
        </w:rPr>
        <w:t>│       └── dashboard.construct.ts</w:t>
      </w:r>
    </w:p>
    <w:p>
      <w:pPr>
        <w:pStyle w:val="NoSpacing"/>
      </w:pPr>
      <w:r>
        <w:rPr>
          <w:rFonts w:ascii="Courier New" w:hAnsi="Courier New"/>
          <w:sz w:val="16"/>
        </w:rPr>
        <w:t>└── test/</w:t>
      </w:r>
    </w:p>
    <w:p>
      <w:pPr>
        <w:pStyle w:val="NoSpacing"/>
      </w:pPr>
      <w:r>
        <w:rPr>
          <w:rFonts w:ascii="Courier New" w:hAnsi="Courier New"/>
          <w:sz w:val="16"/>
        </w:rPr>
        <w:t xml:space="preserve">    └── unit/                                   # Vitest unit tests per handler</w:t>
      </w:r>
    </w:p>
    <w:p/>
    <w:p>
      <w:r>
        <w:t>────────────────────────────────────────────────────────────</w:t>
      </w:r>
    </w:p>
    <w:p/>
    <w:p>
      <w:pPr>
        <w:pStyle w:val="Heading2"/>
      </w:pPr>
      <w:r>
        <w:t>3. Tech Stack</w:t>
      </w:r>
    </w:p>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Layer</w:t>
            </w:r>
          </w:p>
        </w:tc>
        <w:tc>
          <w:tcPr>
            <w:tcW w:type="dxa" w:w="3120"/>
          </w:tcPr>
          <w:p>
            <w:r>
              <w:rPr>
                <w:b/>
              </w:rPr>
              <w:t>Technology</w:t>
            </w:r>
          </w:p>
        </w:tc>
        <w:tc>
          <w:tcPr>
            <w:tcW w:type="dxa" w:w="3120"/>
          </w:tcPr>
          <w:p>
            <w:r>
              <w:rPr>
                <w:b/>
              </w:rPr>
              <w:t>Version</w:t>
            </w:r>
          </w:p>
        </w:tc>
      </w:tr>
      <w:tr>
        <w:tc>
          <w:tcPr>
            <w:tcW w:type="dxa" w:w="3120"/>
          </w:tcPr>
          <w:p>
            <w:r>
              <w:t>Runtime</w:t>
            </w:r>
          </w:p>
        </w:tc>
        <w:tc>
          <w:tcPr>
            <w:tcW w:type="dxa" w:w="3120"/>
          </w:tcPr>
          <w:p>
            <w:r>
              <w:t>Node.js</w:t>
            </w:r>
          </w:p>
        </w:tc>
        <w:tc>
          <w:tcPr>
            <w:tcW w:type="dxa" w:w="3120"/>
          </w:tcPr>
          <w:p>
            <w:r>
              <w:t>20.x</w:t>
            </w:r>
          </w:p>
        </w:tc>
      </w:tr>
      <w:tr>
        <w:tc>
          <w:tcPr>
            <w:tcW w:type="dxa" w:w="3120"/>
          </w:tcPr>
          <w:p>
            <w:r>
              <w:t>Language</w:t>
            </w:r>
          </w:p>
        </w:tc>
        <w:tc>
          <w:tcPr>
            <w:tcW w:type="dxa" w:w="3120"/>
          </w:tcPr>
          <w:p>
            <w:r>
              <w:t>TypeScript</w:t>
            </w:r>
          </w:p>
        </w:tc>
        <w:tc>
          <w:tcPr>
            <w:tcW w:type="dxa" w:w="3120"/>
          </w:tcPr>
          <w:p>
            <w:r>
              <w:t>~5.9.3</w:t>
            </w:r>
          </w:p>
        </w:tc>
      </w:tr>
      <w:tr>
        <w:tc>
          <w:tcPr>
            <w:tcW w:type="dxa" w:w="3120"/>
          </w:tcPr>
          <w:p>
            <w:r>
              <w:t>IaC</w:t>
            </w:r>
          </w:p>
        </w:tc>
        <w:tc>
          <w:tcPr>
            <w:tcW w:type="dxa" w:w="3120"/>
          </w:tcPr>
          <w:p>
            <w:r>
              <w:t>AWS CDK</w:t>
            </w:r>
          </w:p>
        </w:tc>
        <w:tc>
          <w:tcPr>
            <w:tcW w:type="dxa" w:w="3120"/>
          </w:tcPr>
          <w:p>
            <w:r>
              <w:t>2.1112.0</w:t>
            </w:r>
          </w:p>
        </w:tc>
      </w:tr>
      <w:tr>
        <w:tc>
          <w:tcPr>
            <w:tcW w:type="dxa" w:w="3120"/>
          </w:tcPr>
          <w:p>
            <w:r>
              <w:t>Schema validation</w:t>
            </w:r>
          </w:p>
        </w:tc>
        <w:tc>
          <w:tcPr>
            <w:tcW w:type="dxa" w:w="3120"/>
          </w:tcPr>
          <w:p>
            <w:r>
              <w:t>Zod</w:t>
            </w:r>
          </w:p>
        </w:tc>
        <w:tc>
          <w:tcPr>
            <w:tcW w:type="dxa" w:w="3120"/>
          </w:tcPr>
          <w:p>
            <w:r>
              <w:t>v4 (^4.3.6)</w:t>
            </w:r>
          </w:p>
        </w:tc>
      </w:tr>
      <w:tr>
        <w:tc>
          <w:tcPr>
            <w:tcW w:type="dxa" w:w="3120"/>
          </w:tcPr>
          <w:p>
            <w:r>
              <w:t>ID generation</w:t>
            </w:r>
          </w:p>
        </w:tc>
        <w:tc>
          <w:tcPr>
            <w:tcW w:type="dxa" w:w="3120"/>
          </w:tcPr>
          <w:p>
            <w:r>
              <w:t>ULID</w:t>
            </w:r>
          </w:p>
        </w:tc>
        <w:tc>
          <w:tcPr>
            <w:tcW w:type="dxa" w:w="3120"/>
          </w:tcPr>
          <w:p>
            <w:r>
              <w:t>^3.0.2</w:t>
            </w:r>
          </w:p>
        </w:tc>
      </w:tr>
      <w:tr>
        <w:tc>
          <w:tcPr>
            <w:tcW w:type="dxa" w:w="3120"/>
          </w:tcPr>
          <w:p>
            <w:r>
              <w:t>Test framework</w:t>
            </w:r>
          </w:p>
        </w:tc>
        <w:tc>
          <w:tcPr>
            <w:tcW w:type="dxa" w:w="3120"/>
          </w:tcPr>
          <w:p>
            <w:r>
              <w:t>Vitest</w:t>
            </w:r>
          </w:p>
        </w:tc>
        <w:tc>
          <w:tcPr>
            <w:tcW w:type="dxa" w:w="3120"/>
          </w:tcPr>
          <w:p>
            <w:r>
              <w:t>^4.1.1</w:t>
            </w:r>
          </w:p>
        </w:tc>
      </w:tr>
      <w:tr>
        <w:tc>
          <w:tcPr>
            <w:tcW w:type="dxa" w:w="3120"/>
          </w:tcPr>
          <w:p>
            <w:r>
              <w:t>Bundler</w:t>
            </w:r>
          </w:p>
        </w:tc>
        <w:tc>
          <w:tcPr>
            <w:tcW w:type="dxa" w:w="3120"/>
          </w:tcPr>
          <w:p>
            <w:r>
              <w:t>esbuild</w:t>
            </w:r>
          </w:p>
        </w:tc>
        <w:tc>
          <w:tcPr>
            <w:tcW w:type="dxa" w:w="3120"/>
          </w:tcPr>
          <w:p>
            <w:r>
              <w:t>^0.27.4</w:t>
            </w:r>
          </w:p>
        </w:tc>
      </w:tr>
    </w:tbl>
    <w:p/>
    <w:p/>
    <w:p>
      <w:r>
        <w:t>────────────────────────────────────────────────────────────</w:t>
      </w:r>
    </w:p>
    <w:p/>
    <w:p>
      <w:pPr>
        <w:pStyle w:val="Heading2"/>
      </w:pPr>
      <w:r>
        <w:t>4. AWS Resources Summary</w:t>
      </w:r>
    </w:p>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Service</w:t>
            </w:r>
          </w:p>
        </w:tc>
        <w:tc>
          <w:tcPr>
            <w:tcW w:type="dxa" w:w="3120"/>
          </w:tcPr>
          <w:p>
            <w:r>
              <w:rPr>
                <w:b/>
              </w:rPr>
              <w:t>Resource</w:t>
            </w:r>
          </w:p>
        </w:tc>
        <w:tc>
          <w:tcPr>
            <w:tcW w:type="dxa" w:w="3120"/>
          </w:tcPr>
          <w:p>
            <w:r>
              <w:rPr>
                <w:b/>
              </w:rPr>
              <w:t>Purpose</w:t>
            </w:r>
          </w:p>
        </w:tc>
      </w:tr>
      <w:tr>
        <w:tc>
          <w:tcPr>
            <w:tcW w:type="dxa" w:w="3120"/>
          </w:tcPr>
          <w:p>
            <w:r>
              <w:t>Lambda (7)</w:t>
            </w:r>
          </w:p>
        </w:tc>
        <w:tc>
          <w:tcPr>
            <w:tcW w:type="dxa" w:w="3120"/>
          </w:tcPr>
          <w:p>
            <w:r>
              <w:t>eob-trigger</w:t>
            </w:r>
          </w:p>
        </w:tc>
        <w:tc>
          <w:tcPr>
            <w:tcW w:type="dxa" w:w="3120"/>
          </w:tcPr>
          <w:p>
            <w:r>
              <w:t>SQS consumer; starts SFN execution</w:t>
            </w:r>
          </w:p>
        </w:tc>
      </w:tr>
      <w:tr>
        <w:tc>
          <w:tcPr>
            <w:tcW w:type="dxa" w:w="3120"/>
          </w:tcPr>
          <w:p>
            <w:r>
              <w:t>Lambda</w:t>
            </w:r>
          </w:p>
        </w:tc>
        <w:tc>
          <w:tcPr>
            <w:tcW w:type="dxa" w:w="3120"/>
          </w:tcPr>
          <w:p>
            <w:r>
              <w:t>eob-validate-pdf</w:t>
            </w:r>
          </w:p>
        </w:tc>
        <w:tc>
          <w:tcPr>
            <w:tcW w:type="dxa" w:w="3120"/>
          </w:tcPr>
          <w:p>
            <w:r>
              <w:t>Validates PDF existence/format</w:t>
            </w:r>
          </w:p>
        </w:tc>
      </w:tr>
      <w:tr>
        <w:tc>
          <w:tcPr>
            <w:tcW w:type="dxa" w:w="3120"/>
          </w:tcPr>
          <w:p>
            <w:r>
              <w:t>Lambda</w:t>
            </w:r>
          </w:p>
        </w:tc>
        <w:tc>
          <w:tcPr>
            <w:tcW w:type="dxa" w:w="3120"/>
          </w:tcPr>
          <w:p>
            <w:r>
              <w:t>eob-classify-eob</w:t>
            </w:r>
          </w:p>
        </w:tc>
        <w:tc>
          <w:tcPr>
            <w:tcW w:type="dxa" w:w="3120"/>
          </w:tcPr>
          <w:p>
            <w:r>
              <w:t>Bedrock classify chain</w:t>
            </w:r>
          </w:p>
        </w:tc>
      </w:tr>
      <w:tr>
        <w:tc>
          <w:tcPr>
            <w:tcW w:type="dxa" w:w="3120"/>
          </w:tcPr>
          <w:p>
            <w:r>
              <w:t>Lambda</w:t>
            </w:r>
          </w:p>
        </w:tc>
        <w:tc>
          <w:tcPr>
            <w:tcW w:type="dxa" w:w="3120"/>
          </w:tcPr>
          <w:p>
            <w:r>
              <w:t>eob-extract-eob</w:t>
            </w:r>
          </w:p>
        </w:tc>
        <w:tc>
          <w:tcPr>
            <w:tcW w:type="dxa" w:w="3120"/>
          </w:tcPr>
          <w:p>
            <w:r>
              <w:t>Bedrock extract chain</w:t>
            </w:r>
          </w:p>
        </w:tc>
      </w:tr>
      <w:tr>
        <w:tc>
          <w:tcPr>
            <w:tcW w:type="dxa" w:w="3120"/>
          </w:tcPr>
          <w:p>
            <w:r>
              <w:t>Lambda</w:t>
            </w:r>
          </w:p>
        </w:tc>
        <w:tc>
          <w:tcPr>
            <w:tcW w:type="dxa" w:w="3120"/>
          </w:tcPr>
          <w:p>
            <w:r>
              <w:t>eob-validate-data</w:t>
            </w:r>
          </w:p>
        </w:tc>
        <w:tc>
          <w:tcPr>
            <w:tcW w:type="dxa" w:w="3120"/>
          </w:tcPr>
          <w:p>
            <w:r>
              <w:t>Zod + business-rule validation</w:t>
            </w:r>
          </w:p>
        </w:tc>
      </w:tr>
      <w:tr>
        <w:tc>
          <w:tcPr>
            <w:tcW w:type="dxa" w:w="3120"/>
          </w:tcPr>
          <w:p>
            <w:r>
              <w:t>Lambda</w:t>
            </w:r>
          </w:p>
        </w:tc>
        <w:tc>
          <w:tcPr>
            <w:tcW w:type="dxa" w:w="3120"/>
          </w:tcPr>
          <w:p>
            <w:r>
              <w:t>eob-lookup-insurance</w:t>
            </w:r>
          </w:p>
        </w:tc>
        <w:tc>
          <w:tcPr>
            <w:tcW w:type="dxa" w:w="3120"/>
          </w:tcPr>
          <w:p>
            <w:r>
              <w:t>Cross-ref Insurance-Arbitration-contacts</w:t>
            </w:r>
          </w:p>
        </w:tc>
      </w:tr>
      <w:tr>
        <w:tc>
          <w:tcPr>
            <w:tcW w:type="dxa" w:w="3120"/>
          </w:tcPr>
          <w:p>
            <w:r>
              <w:t>Lambda</w:t>
            </w:r>
          </w:p>
        </w:tc>
        <w:tc>
          <w:tcPr>
            <w:tcW w:type="dxa" w:w="3120"/>
          </w:tcPr>
          <w:p>
            <w:r>
              <w:t>eob-store-result</w:t>
            </w:r>
          </w:p>
        </w:tc>
        <w:tc>
          <w:tcPr>
            <w:tcW w:type="dxa" w:w="3120"/>
          </w:tcPr>
          <w:p>
            <w:r>
              <w:t>DynamoDB write + review queue</w:t>
            </w:r>
          </w:p>
        </w:tc>
      </w:tr>
      <w:tr>
        <w:tc>
          <w:tcPr>
            <w:tcW w:type="dxa" w:w="3120"/>
          </w:tcPr>
          <w:p>
            <w:r>
              <w:t>Step Functions</w:t>
            </w:r>
          </w:p>
        </w:tc>
        <w:tc>
          <w:tcPr>
            <w:tcW w:type="dxa" w:w="3120"/>
          </w:tcPr>
          <w:p>
            <w:r>
              <w:t>eob-extraction-pipeline</w:t>
            </w:r>
          </w:p>
        </w:tc>
        <w:tc>
          <w:tcPr>
            <w:tcW w:type="dxa" w:w="3120"/>
          </w:tcPr>
          <w:p>
            <w:r>
              <w:t>STANDARD; 15-min timeout; X-Ray; KMS logs</w:t>
            </w:r>
          </w:p>
        </w:tc>
      </w:tr>
      <w:tr>
        <w:tc>
          <w:tcPr>
            <w:tcW w:type="dxa" w:w="3120"/>
          </w:tcPr>
          <w:p>
            <w:r>
              <w:t>DynamoDB</w:t>
            </w:r>
          </w:p>
        </w:tc>
        <w:tc>
          <w:tcPr>
            <w:tcW w:type="dxa" w:w="3120"/>
          </w:tcPr>
          <w:p>
            <w:r>
              <w:t>eob-extractions</w:t>
            </w:r>
          </w:p>
        </w:tc>
        <w:tc>
          <w:tcPr>
            <w:tcW w:type="dxa" w:w="3120"/>
          </w:tcPr>
          <w:p>
            <w:r>
              <w:t>PAY_PER_REQUEST; KMS CMK; PITR; Streams</w:t>
            </w:r>
          </w:p>
        </w:tc>
      </w:tr>
      <w:tr>
        <w:tc>
          <w:tcPr>
            <w:tcW w:type="dxa" w:w="3120"/>
          </w:tcPr>
          <w:p>
            <w:r>
              <w:t>DynamoDB (ext)</w:t>
            </w:r>
          </w:p>
        </w:tc>
        <w:tc>
          <w:tcPr>
            <w:tcW w:type="dxa" w:w="3120"/>
          </w:tcPr>
          <w:p>
            <w:r>
              <w:t>Insurance-Arbitration-contacts</w:t>
            </w:r>
          </w:p>
        </w:tc>
        <w:tc>
          <w:tcPr>
            <w:tcW w:type="dxa" w:w="3120"/>
          </w:tcPr>
          <w:p>
            <w:r>
              <w:t>Pre-existing; read + conditional write</w:t>
            </w:r>
          </w:p>
        </w:tc>
      </w:tr>
      <w:tr>
        <w:tc>
          <w:tcPr>
            <w:tcW w:type="dxa" w:w="3120"/>
          </w:tcPr>
          <w:p>
            <w:r>
              <w:t>S3 (ext)</w:t>
            </w:r>
          </w:p>
        </w:tc>
        <w:tc>
          <w:tcPr>
            <w:tcW w:type="dxa" w:w="3120"/>
          </w:tcPr>
          <w:p>
            <w:r>
              <w:t>bucket-specialops / bucket-specialops-sandbox</w:t>
            </w:r>
          </w:p>
        </w:tc>
        <w:tc>
          <w:tcPr>
            <w:tcW w:type="dxa" w:w="3120"/>
          </w:tcPr>
          <w:p>
            <w:r>
              <w:t>PDF source; not CDK-managed</w:t>
            </w:r>
          </w:p>
        </w:tc>
      </w:tr>
      <w:tr>
        <w:tc>
          <w:tcPr>
            <w:tcW w:type="dxa" w:w="3120"/>
          </w:tcPr>
          <w:p>
            <w:r>
              <w:t>S3</w:t>
            </w:r>
          </w:p>
        </w:tc>
        <w:tc>
          <w:tcPr>
            <w:tcW w:type="dxa" w:w="3120"/>
          </w:tcPr>
          <w:p>
            <w:r>
              <w:t>eob-extractor-audit-{account}</w:t>
            </w:r>
          </w:p>
        </w:tc>
        <w:tc>
          <w:tcPr>
            <w:tcW w:type="dxa" w:w="3120"/>
          </w:tcPr>
          <w:p>
            <w:r>
              <w:t>Audit logs; Object Lock COMPLIANCE; 6yr</w:t>
            </w:r>
          </w:p>
        </w:tc>
      </w:tr>
      <w:tr>
        <w:tc>
          <w:tcPr>
            <w:tcW w:type="dxa" w:w="3120"/>
          </w:tcPr>
          <w:p>
            <w:r>
              <w:t>SQS</w:t>
            </w:r>
          </w:p>
        </w:tc>
        <w:tc>
          <w:tcPr>
            <w:tcW w:type="dxa" w:w="3120"/>
          </w:tcPr>
          <w:p>
            <w:r>
              <w:t>eob-extractor-ingest</w:t>
            </w:r>
          </w:p>
        </w:tc>
        <w:tc>
          <w:tcPr>
            <w:tcW w:type="dxa" w:w="3120"/>
          </w:tcPr>
          <w:p>
            <w:r>
              <w:t>S3 events → trigger; DLQ after 3 retries</w:t>
            </w:r>
          </w:p>
        </w:tc>
      </w:tr>
      <w:tr>
        <w:tc>
          <w:tcPr>
            <w:tcW w:type="dxa" w:w="3120"/>
          </w:tcPr>
          <w:p>
            <w:r>
              <w:t>SQS</w:t>
            </w:r>
          </w:p>
        </w:tc>
        <w:tc>
          <w:tcPr>
            <w:tcW w:type="dxa" w:w="3120"/>
          </w:tcPr>
          <w:p>
            <w:r>
              <w:t>eob-extractor-review</w:t>
            </w:r>
          </w:p>
        </w:tc>
        <w:tc>
          <w:tcPr>
            <w:tcW w:type="dxa" w:w="3120"/>
          </w:tcPr>
          <w:p>
            <w:r>
              <w:t>Low-confidence review (⚠ no DLQ — TD-005)</w:t>
            </w:r>
          </w:p>
        </w:tc>
      </w:tr>
      <w:tr>
        <w:tc>
          <w:tcPr>
            <w:tcW w:type="dxa" w:w="3120"/>
          </w:tcPr>
          <w:p>
            <w:r>
              <w:t>SQS</w:t>
            </w:r>
          </w:p>
        </w:tc>
        <w:tc>
          <w:tcPr>
            <w:tcW w:type="dxa" w:w="3120"/>
          </w:tcPr>
          <w:p>
            <w:r>
              <w:t>eob-extractor-dlq</w:t>
            </w:r>
          </w:p>
        </w:tc>
        <w:tc>
          <w:tcPr>
            <w:tcW w:type="dxa" w:w="3120"/>
          </w:tcPr>
          <w:p>
            <w:r>
              <w:t>Dead letters; 14-day retention</w:t>
            </w:r>
          </w:p>
        </w:tc>
      </w:tr>
      <w:tr>
        <w:tc>
          <w:tcPr>
            <w:tcW w:type="dxa" w:w="3120"/>
          </w:tcPr>
          <w:p>
            <w:r>
              <w:t>SNS</w:t>
            </w:r>
          </w:p>
        </w:tc>
        <w:tc>
          <w:tcPr>
            <w:tcW w:type="dxa" w:w="3120"/>
          </w:tcPr>
          <w:p>
            <w:r>
              <w:t>eob-extractor-ops-alerts</w:t>
            </w:r>
          </w:p>
        </w:tc>
        <w:tc>
          <w:tcPr>
            <w:tcW w:type="dxa" w:w="3120"/>
          </w:tcPr>
          <w:p>
            <w:r>
              <w:t>Operational alerts</w:t>
            </w:r>
          </w:p>
        </w:tc>
      </w:tr>
      <w:tr>
        <w:tc>
          <w:tcPr>
            <w:tcW w:type="dxa" w:w="3120"/>
          </w:tcPr>
          <w:p>
            <w:r>
              <w:t>SNS</w:t>
            </w:r>
          </w:p>
        </w:tc>
        <w:tc>
          <w:tcPr>
            <w:tcW w:type="dxa" w:w="3120"/>
          </w:tcPr>
          <w:p>
            <w:r>
              <w:t>eob-extractor-review-alerts</w:t>
            </w:r>
          </w:p>
        </w:tc>
        <w:tc>
          <w:tcPr>
            <w:tcW w:type="dxa" w:w="3120"/>
          </w:tcPr>
          <w:p>
            <w:r>
              <w:t>New/mismatch insurance contact alerts</w:t>
            </w:r>
          </w:p>
        </w:tc>
      </w:tr>
      <w:tr>
        <w:tc>
          <w:tcPr>
            <w:tcW w:type="dxa" w:w="3120"/>
          </w:tcPr>
          <w:p>
            <w:r>
              <w:t>KMS</w:t>
            </w:r>
          </w:p>
        </w:tc>
        <w:tc>
          <w:tcPr>
            <w:tcW w:type="dxa" w:w="3120"/>
          </w:tcPr>
          <w:p>
            <w:r>
              <w:t>alias/eob-extractor/phi</w:t>
            </w:r>
          </w:p>
        </w:tc>
        <w:tc>
          <w:tcPr>
            <w:tcW w:type="dxa" w:w="3120"/>
          </w:tcPr>
          <w:p>
            <w:r>
              <w:t>DynamoDB + Lambda env encryption</w:t>
            </w:r>
          </w:p>
        </w:tc>
      </w:tr>
      <w:tr>
        <w:tc>
          <w:tcPr>
            <w:tcW w:type="dxa" w:w="3120"/>
          </w:tcPr>
          <w:p>
            <w:r>
              <w:t>KMS</w:t>
            </w:r>
          </w:p>
        </w:tc>
        <w:tc>
          <w:tcPr>
            <w:tcW w:type="dxa" w:w="3120"/>
          </w:tcPr>
          <w:p>
            <w:r>
              <w:t>alias/eob-extractor/audit</w:t>
            </w:r>
          </w:p>
        </w:tc>
        <w:tc>
          <w:tcPr>
            <w:tcW w:type="dxa" w:w="3120"/>
          </w:tcPr>
          <w:p>
            <w:r>
              <w:t>S3 audit + SFN log group encryption</w:t>
            </w:r>
          </w:p>
        </w:tc>
      </w:tr>
      <w:tr>
        <w:tc>
          <w:tcPr>
            <w:tcW w:type="dxa" w:w="3120"/>
          </w:tcPr>
          <w:p>
            <w:r>
              <w:t>Bedrock</w:t>
            </w:r>
          </w:p>
        </w:tc>
        <w:tc>
          <w:tcPr>
            <w:tcW w:type="dxa" w:w="3120"/>
          </w:tcPr>
          <w:p>
            <w:r>
              <w:t>us.anthropic.claude-haiku-4-5</w:t>
            </w:r>
          </w:p>
        </w:tc>
        <w:tc>
          <w:tcPr>
            <w:tcW w:type="dxa" w:w="3120"/>
          </w:tcPr>
          <w:p>
            <w:r>
              <w:t>Classify primary</w:t>
            </w:r>
          </w:p>
        </w:tc>
      </w:tr>
      <w:tr>
        <w:tc>
          <w:tcPr>
            <w:tcW w:type="dxa" w:w="3120"/>
          </w:tcPr>
          <w:p>
            <w:r>
              <w:t>Bedrock</w:t>
            </w:r>
          </w:p>
        </w:tc>
        <w:tc>
          <w:tcPr>
            <w:tcW w:type="dxa" w:w="3120"/>
          </w:tcPr>
          <w:p>
            <w:r>
              <w:t>us.anthropic.claude-sonnet-4-20250514</w:t>
            </w:r>
          </w:p>
        </w:tc>
        <w:tc>
          <w:tcPr>
            <w:tcW w:type="dxa" w:w="3120"/>
          </w:tcPr>
          <w:p>
            <w:r>
              <w:t>Classify fallback; Extract fallback 2</w:t>
            </w:r>
          </w:p>
        </w:tc>
      </w:tr>
      <w:tr>
        <w:tc>
          <w:tcPr>
            <w:tcW w:type="dxa" w:w="3120"/>
          </w:tcPr>
          <w:p>
            <w:r>
              <w:t>Bedrock</w:t>
            </w:r>
          </w:p>
        </w:tc>
        <w:tc>
          <w:tcPr>
            <w:tcW w:type="dxa" w:w="3120"/>
          </w:tcPr>
          <w:p>
            <w:r>
              <w:t>us.anthropic.claude-sonnet-4-6</w:t>
            </w:r>
          </w:p>
        </w:tc>
        <w:tc>
          <w:tcPr>
            <w:tcW w:type="dxa" w:w="3120"/>
          </w:tcPr>
          <w:p>
            <w:r>
              <w:t>Extract primary</w:t>
            </w:r>
          </w:p>
        </w:tc>
      </w:tr>
    </w:tbl>
    <w:p/>
    <w:p/>
    <w:p>
      <w:r>
        <w:t>────────────────────────────────────────────────────────────</w:t>
      </w:r>
    </w:p>
    <w:p/>
    <w:p>
      <w:pPr>
        <w:pStyle w:val="Heading2"/>
      </w:pPr>
      <w:r>
        <w:t>5. Environment Variables (per Lambda)</w:t>
      </w:r>
    </w:p>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Lambda</w:t>
            </w:r>
          </w:p>
        </w:tc>
        <w:tc>
          <w:tcPr>
            <w:tcW w:type="dxa" w:w="3120"/>
          </w:tcPr>
          <w:p>
            <w:r>
              <w:rPr>
                <w:b/>
              </w:rPr>
              <w:t>Env Var</w:t>
            </w:r>
          </w:p>
        </w:tc>
        <w:tc>
          <w:tcPr>
            <w:tcW w:type="dxa" w:w="3120"/>
          </w:tcPr>
          <w:p>
            <w:r>
              <w:rPr>
                <w:b/>
              </w:rPr>
              <w:t>Value</w:t>
            </w:r>
          </w:p>
        </w:tc>
      </w:tr>
      <w:tr>
        <w:tc>
          <w:tcPr>
            <w:tcW w:type="dxa" w:w="3120"/>
          </w:tcPr>
          <w:p>
            <w:r>
              <w:t>eob-trigger</w:t>
            </w:r>
          </w:p>
        </w:tc>
        <w:tc>
          <w:tcPr>
            <w:tcW w:type="dxa" w:w="3120"/>
          </w:tcPr>
          <w:p>
            <w:r>
              <w:t>`STATE_MACHINE_ARN`</w:t>
            </w:r>
          </w:p>
        </w:tc>
        <w:tc>
          <w:tcPr>
            <w:tcW w:type="dxa" w:w="3120"/>
          </w:tcPr>
          <w:p>
            <w:r>
              <w:t>eob-extraction-pipeline ARN</w:t>
            </w:r>
          </w:p>
        </w:tc>
      </w:tr>
      <w:tr>
        <w:tc>
          <w:tcPr>
            <w:tcW w:type="dxa" w:w="3120"/>
          </w:tcPr>
          <w:p>
            <w:r>
              <w:t>eob-trigger</w:t>
            </w:r>
          </w:p>
        </w:tc>
        <w:tc>
          <w:tcPr>
            <w:tcW w:type="dxa" w:w="3120"/>
          </w:tcPr>
          <w:p>
            <w:r>
              <w:t>`TABLE_NAME`</w:t>
            </w:r>
          </w:p>
        </w:tc>
        <w:tc>
          <w:tcPr>
            <w:tcW w:type="dxa" w:w="3120"/>
          </w:tcPr>
          <w:p>
            <w:r>
              <w:t>eob-extractions</w:t>
            </w:r>
          </w:p>
        </w:tc>
      </w:tr>
      <w:tr>
        <w:tc>
          <w:tcPr>
            <w:tcW w:type="dxa" w:w="3120"/>
          </w:tcPr>
          <w:p>
            <w:r>
              <w:t>eob-validate-pdf</w:t>
            </w:r>
          </w:p>
        </w:tc>
        <w:tc>
          <w:tcPr>
            <w:tcW w:type="dxa" w:w="3120"/>
          </w:tcPr>
          <w:p>
            <w:r>
              <w:t>`BUCKET_NAME`</w:t>
            </w:r>
          </w:p>
        </w:tc>
        <w:tc>
          <w:tcPr>
            <w:tcW w:type="dxa" w:w="3120"/>
          </w:tcPr>
          <w:p>
            <w:r>
              <w:t>bucket-specialops[-sandbox]</w:t>
            </w:r>
          </w:p>
        </w:tc>
      </w:tr>
      <w:tr>
        <w:tc>
          <w:tcPr>
            <w:tcW w:type="dxa" w:w="3120"/>
          </w:tcPr>
          <w:p>
            <w:r>
              <w:t>eob-classify-eob</w:t>
            </w:r>
          </w:p>
        </w:tc>
        <w:tc>
          <w:tcPr>
            <w:tcW w:type="dxa" w:w="3120"/>
          </w:tcPr>
          <w:p>
            <w:r>
              <w:t>`BUCKET_NAME`</w:t>
            </w:r>
          </w:p>
        </w:tc>
        <w:tc>
          <w:tcPr>
            <w:tcW w:type="dxa" w:w="3120"/>
          </w:tcPr>
          <w:p>
            <w:r>
              <w:t>bucket-specialops[-sandbox]</w:t>
            </w:r>
          </w:p>
        </w:tc>
      </w:tr>
      <w:tr>
        <w:tc>
          <w:tcPr>
            <w:tcW w:type="dxa" w:w="3120"/>
          </w:tcPr>
          <w:p>
            <w:r>
              <w:t>eob-extract-eob</w:t>
            </w:r>
          </w:p>
        </w:tc>
        <w:tc>
          <w:tcPr>
            <w:tcW w:type="dxa" w:w="3120"/>
          </w:tcPr>
          <w:p>
            <w:r>
              <w:t>`BUCKET_NAME`</w:t>
            </w:r>
          </w:p>
        </w:tc>
        <w:tc>
          <w:tcPr>
            <w:tcW w:type="dxa" w:w="3120"/>
          </w:tcPr>
          <w:p>
            <w:r>
              <w:t>bucket-specialops[-sandbox]</w:t>
            </w:r>
          </w:p>
        </w:tc>
      </w:tr>
      <w:tr>
        <w:tc>
          <w:tcPr>
            <w:tcW w:type="dxa" w:w="3120"/>
          </w:tcPr>
          <w:p>
            <w:r>
              <w:t>eob-lookup-insurance</w:t>
            </w:r>
          </w:p>
        </w:tc>
        <w:tc>
          <w:tcPr>
            <w:tcW w:type="dxa" w:w="3120"/>
          </w:tcPr>
          <w:p>
            <w:r>
              <w:t>`CONTACTS_TABLE_NAME`</w:t>
            </w:r>
          </w:p>
        </w:tc>
        <w:tc>
          <w:tcPr>
            <w:tcW w:type="dxa" w:w="3120"/>
          </w:tcPr>
          <w:p>
            <w:r>
              <w:t>Insurance-Arbitration-contacts</w:t>
            </w:r>
          </w:p>
        </w:tc>
      </w:tr>
      <w:tr>
        <w:tc>
          <w:tcPr>
            <w:tcW w:type="dxa" w:w="3120"/>
          </w:tcPr>
          <w:p>
            <w:r>
              <w:t>eob-lookup-insurance</w:t>
            </w:r>
          </w:p>
        </w:tc>
        <w:tc>
          <w:tcPr>
            <w:tcW w:type="dxa" w:w="3120"/>
          </w:tcPr>
          <w:p>
            <w:r>
              <w:t>`NOTIFY_TOPIC_ARN`</w:t>
            </w:r>
          </w:p>
        </w:tc>
        <w:tc>
          <w:tcPr>
            <w:tcW w:type="dxa" w:w="3120"/>
          </w:tcPr>
          <w:p>
            <w:r>
              <w:t>eob-extractor-review-alerts ARN</w:t>
            </w:r>
          </w:p>
        </w:tc>
      </w:tr>
      <w:tr>
        <w:tc>
          <w:tcPr>
            <w:tcW w:type="dxa" w:w="3120"/>
          </w:tcPr>
          <w:p>
            <w:r>
              <w:t>eob-store-result</w:t>
            </w:r>
          </w:p>
        </w:tc>
        <w:tc>
          <w:tcPr>
            <w:tcW w:type="dxa" w:w="3120"/>
          </w:tcPr>
          <w:p>
            <w:r>
              <w:t>`TABLE_NAME`</w:t>
            </w:r>
          </w:p>
        </w:tc>
        <w:tc>
          <w:tcPr>
            <w:tcW w:type="dxa" w:w="3120"/>
          </w:tcPr>
          <w:p>
            <w:r>
              <w:t>eob-extractions</w:t>
            </w:r>
          </w:p>
        </w:tc>
      </w:tr>
      <w:tr>
        <w:tc>
          <w:tcPr>
            <w:tcW w:type="dxa" w:w="3120"/>
          </w:tcPr>
          <w:p>
            <w:r>
              <w:t>eob-store-result</w:t>
            </w:r>
          </w:p>
        </w:tc>
        <w:tc>
          <w:tcPr>
            <w:tcW w:type="dxa" w:w="3120"/>
          </w:tcPr>
          <w:p>
            <w:r>
              <w:t>`REVIEW_QUEUE_URL`</w:t>
            </w:r>
          </w:p>
        </w:tc>
        <w:tc>
          <w:tcPr>
            <w:tcW w:type="dxa" w:w="3120"/>
          </w:tcPr>
          <w:p>
            <w:r>
              <w:t>eob-extractor-review URL</w:t>
            </w:r>
          </w:p>
        </w:tc>
      </w:tr>
    </w:tbl>
    <w:p/>
    <w:p/>
    <w:p>
      <w:r>
        <w:t>────────────────────────────────────────────────────────────</w:t>
      </w:r>
    </w:p>
    <w:p/>
    <w:p>
      <w:pPr>
        <w:pStyle w:val="Heading2"/>
      </w:pPr>
      <w:r>
        <w:t>6. S3 Trigger Path</w:t>
      </w:r>
    </w:p>
    <w:p/>
    <w:p>
      <w:r>
        <w:t>The pipeline activates on S3 OBJECT_CREATED events matching:</w:t>
      </w:r>
    </w:p>
    <w:p>
      <w:pPr>
        <w:pStyle w:val="ListBullet"/>
      </w:pPr>
      <w:r>
        <w:t>Bucket: bucket-specialops (prod) or bucket-specialops-sandbox (dev)</w:t>
      </w:r>
    </w:p>
    <w:p>
      <w:pPr>
        <w:pStyle w:val="ListBullet"/>
      </w:pPr>
      <w:r>
        <w:t>Prefix: clickup/</w:t>
      </w:r>
    </w:p>
    <w:p>
      <w:pPr>
        <w:pStyle w:val="ListBullet"/>
      </w:pPr>
      <w:r>
        <w:t>Suffix: .pdf</w:t>
      </w:r>
    </w:p>
    <w:p/>
    <w:p>
      <w:r>
        <w:t>Documents outside this path are ignored by the event notification filter.</w:t>
      </w:r>
    </w:p>
    <w:p/>
    <w:p>
      <w:r>
        <w:t>────────────────────────────────────────────────────────────</w:t>
      </w:r>
    </w:p>
    <w:p/>
    <w:p>
      <w:pPr>
        <w:pStyle w:val="Heading2"/>
      </w:pPr>
      <w:r>
        <w:t>7. Confidence Score Thresholds</w:t>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Score</w:t>
            </w:r>
          </w:p>
        </w:tc>
        <w:tc>
          <w:tcPr>
            <w:tcW w:type="dxa" w:w="2340"/>
          </w:tcPr>
          <w:p>
            <w:r>
              <w:rPr>
                <w:b/>
              </w:rPr>
              <w:t>Level</w:t>
            </w:r>
          </w:p>
        </w:tc>
        <w:tc>
          <w:tcPr>
            <w:tcW w:type="dxa" w:w="2340"/>
          </w:tcPr>
          <w:p>
            <w:r>
              <w:rPr>
                <w:b/>
              </w:rPr>
              <w:t>Status</w:t>
            </w:r>
          </w:p>
        </w:tc>
        <w:tc>
          <w:tcPr>
            <w:tcW w:type="dxa" w:w="2340"/>
          </w:tcPr>
          <w:p>
            <w:r>
              <w:rPr>
                <w:b/>
              </w:rPr>
              <w:t>Routing</w:t>
            </w:r>
          </w:p>
        </w:tc>
      </w:tr>
      <w:tr>
        <w:tc>
          <w:tcPr>
            <w:tcW w:type="dxa" w:w="2340"/>
          </w:tcPr>
          <w:p>
            <w:r>
              <w:t>&gt;= 0.85</w:t>
            </w:r>
          </w:p>
        </w:tc>
        <w:tc>
          <w:tcPr>
            <w:tcW w:type="dxa" w:w="2340"/>
          </w:tcPr>
          <w:p>
            <w:r>
              <w:t>HIGH</w:t>
            </w:r>
          </w:p>
        </w:tc>
        <w:tc>
          <w:tcPr>
            <w:tcW w:type="dxa" w:w="2340"/>
          </w:tcPr>
          <w:p>
            <w:r>
              <w:t>EXTRACTED</w:t>
            </w:r>
          </w:p>
        </w:tc>
        <w:tc>
          <w:tcPr>
            <w:tcW w:type="dxa" w:w="2340"/>
          </w:tcPr>
          <w:p>
            <w:r>
              <w:t>LookupInsurance → StoreExtracted</w:t>
            </w:r>
          </w:p>
        </w:tc>
      </w:tr>
      <w:tr>
        <w:tc>
          <w:tcPr>
            <w:tcW w:type="dxa" w:w="2340"/>
          </w:tcPr>
          <w:p>
            <w:r>
              <w:t>0.50 – 0.84</w:t>
            </w:r>
          </w:p>
        </w:tc>
        <w:tc>
          <w:tcPr>
            <w:tcW w:type="dxa" w:w="2340"/>
          </w:tcPr>
          <w:p>
            <w:r>
              <w:t>MEDIUM</w:t>
            </w:r>
          </w:p>
        </w:tc>
        <w:tc>
          <w:tcPr>
            <w:tcW w:type="dxa" w:w="2340"/>
          </w:tcPr>
          <w:p>
            <w:r>
              <w:t>REVIEW_PENDING</w:t>
            </w:r>
          </w:p>
        </w:tc>
        <w:tc>
          <w:tcPr>
            <w:tcW w:type="dxa" w:w="2340"/>
          </w:tcPr>
          <w:p>
            <w:r>
              <w:t>LookupInsurance → StoreReviewPending</w:t>
            </w:r>
          </w:p>
        </w:tc>
      </w:tr>
      <w:tr>
        <w:tc>
          <w:tcPr>
            <w:tcW w:type="dxa" w:w="2340"/>
          </w:tcPr>
          <w:p>
            <w:r>
              <w:t>&lt; 0.50</w:t>
            </w:r>
          </w:p>
        </w:tc>
        <w:tc>
          <w:tcPr>
            <w:tcW w:type="dxa" w:w="2340"/>
          </w:tcPr>
          <w:p>
            <w:r>
              <w:t>LOW</w:t>
            </w:r>
          </w:p>
        </w:tc>
        <w:tc>
          <w:tcPr>
            <w:tcW w:type="dxa" w:w="2340"/>
          </w:tcPr>
          <w:p>
            <w:r>
              <w:t>FAILED</w:t>
            </w:r>
          </w:p>
        </w:tc>
        <w:tc>
          <w:tcPr>
            <w:tcW w:type="dxa" w:w="2340"/>
          </w:tcPr>
          <w:p>
            <w:r>
              <w:t>StoreFailed (no lookup)</w:t>
            </w:r>
          </w:p>
        </w:tc>
      </w:tr>
    </w:tbl>
    <w:p/>
    <w:p/>
    <w:p>
      <w:r>
        <w:t>────────────────────────────────────────────────────────────</w:t>
      </w:r>
    </w:p>
    <w:p/>
    <w:p>
      <w:pPr>
        <w:pStyle w:val="Heading2"/>
      </w:pPr>
      <w:r>
        <w:t>8. Open Audit Findings</w:t>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ID</w:t>
            </w:r>
          </w:p>
        </w:tc>
        <w:tc>
          <w:tcPr>
            <w:tcW w:type="dxa" w:w="2340"/>
          </w:tcPr>
          <w:p>
            <w:r>
              <w:rPr>
                <w:b/>
              </w:rPr>
              <w:t>Severity</w:t>
            </w:r>
          </w:p>
        </w:tc>
        <w:tc>
          <w:tcPr>
            <w:tcW w:type="dxa" w:w="2340"/>
          </w:tcPr>
          <w:p>
            <w:r>
              <w:rPr>
                <w:b/>
              </w:rPr>
              <w:t>Title</w:t>
            </w:r>
          </w:p>
        </w:tc>
        <w:tc>
          <w:tcPr>
            <w:tcW w:type="dxa" w:w="2340"/>
          </w:tcPr>
          <w:p>
            <w:r>
              <w:rPr>
                <w:b/>
              </w:rPr>
              <w:t>Status</w:t>
            </w:r>
          </w:p>
        </w:tc>
      </w:tr>
      <w:tr>
        <w:tc>
          <w:tcPr>
            <w:tcW w:type="dxa" w:w="2340"/>
          </w:tcPr>
          <w:p>
            <w:r>
              <w:t>#001</w:t>
            </w:r>
          </w:p>
        </w:tc>
        <w:tc>
          <w:tcPr>
            <w:tcW w:type="dxa" w:w="2340"/>
          </w:tcPr>
          <w:p>
            <w:r>
              <w:t>HIGH</w:t>
            </w:r>
          </w:p>
        </w:tc>
        <w:tc>
          <w:tcPr>
            <w:tcW w:type="dxa" w:w="2340"/>
          </w:tcPr>
          <w:p>
            <w:r>
              <w:t>S3 PatientName in keys</w:t>
            </w:r>
          </w:p>
        </w:tc>
        <w:tc>
          <w:tcPr>
            <w:tcW w:type="dxa" w:w="2340"/>
          </w:tcPr>
          <w:p>
            <w:r>
              <w:t>**FIXED** (audit/2026-06-04 — `sanitizeS3Key()`)</w:t>
            </w:r>
          </w:p>
        </w:tc>
      </w:tr>
      <w:tr>
        <w:tc>
          <w:tcPr>
            <w:tcW w:type="dxa" w:w="2340"/>
          </w:tcPr>
          <w:p>
            <w:r>
              <w:t>#002</w:t>
            </w:r>
          </w:p>
        </w:tc>
        <w:tc>
          <w:tcPr>
            <w:tcW w:type="dxa" w:w="2340"/>
          </w:tcPr>
          <w:p>
            <w:r>
              <w:t>HIGH</w:t>
            </w:r>
          </w:p>
        </w:tc>
        <w:tc>
          <w:tcPr>
            <w:tcW w:type="dxa" w:w="2340"/>
          </w:tcPr>
          <w:p>
            <w:r>
              <w:t>Lambda functions NOT VPC-attached</w:t>
            </w:r>
          </w:p>
        </w:tc>
        <w:tc>
          <w:tcPr>
            <w:tcW w:type="dxa" w:w="2340"/>
          </w:tcPr>
          <w:p>
            <w:r>
              <w:t>**OPEN** — architectural gap</w:t>
            </w:r>
          </w:p>
        </w:tc>
      </w:tr>
      <w:tr>
        <w:tc>
          <w:tcPr>
            <w:tcW w:type="dxa" w:w="2340"/>
          </w:tcPr>
          <w:p>
            <w:r>
              <w:t>#004</w:t>
            </w:r>
          </w:p>
        </w:tc>
        <w:tc>
          <w:tcPr>
            <w:tcW w:type="dxa" w:w="2340"/>
          </w:tcPr>
          <w:p>
            <w:r>
              <w:t>MEDIUM</w:t>
            </w:r>
          </w:p>
        </w:tc>
        <w:tc>
          <w:tcPr>
            <w:tcW w:type="dxa" w:w="2340"/>
          </w:tcPr>
          <w:p>
            <w:r>
              <w:t>PHI blocklist incomplete in sanitizers</w:t>
            </w:r>
          </w:p>
        </w:tc>
        <w:tc>
          <w:tcPr>
            <w:tcW w:type="dxa" w:w="2340"/>
          </w:tcPr>
          <w:p>
            <w:r>
              <w:t>**OPEN**</w:t>
            </w:r>
          </w:p>
        </w:tc>
      </w:tr>
      <w:tr>
        <w:tc>
          <w:tcPr>
            <w:tcW w:type="dxa" w:w="2340"/>
          </w:tcPr>
          <w:p>
            <w:r>
              <w:t>#005</w:t>
            </w:r>
          </w:p>
        </w:tc>
        <w:tc>
          <w:tcPr>
            <w:tcW w:type="dxa" w:w="2340"/>
          </w:tcPr>
          <w:p>
            <w:r>
              <w:t>MEDIUM</w:t>
            </w:r>
          </w:p>
        </w:tc>
        <w:tc>
          <w:tcPr>
            <w:tcW w:type="dxa" w:w="2340"/>
          </w:tcPr>
          <w:p>
            <w:r>
              <w:t>eob-extractor-review queue has no DLQ</w:t>
            </w:r>
          </w:p>
        </w:tc>
        <w:tc>
          <w:tcPr>
            <w:tcW w:type="dxa" w:w="2340"/>
          </w:tcPr>
          <w:p>
            <w:r>
              <w:t>**OPEN** (TD-005)</w:t>
            </w:r>
          </w:p>
        </w:tc>
      </w:tr>
      <w:tr>
        <w:tc>
          <w:tcPr>
            <w:tcW w:type="dxa" w:w="2340"/>
          </w:tcPr>
          <w:p>
            <w:r>
              <w:t>#006</w:t>
            </w:r>
          </w:p>
        </w:tc>
        <w:tc>
          <w:tcPr>
            <w:tcW w:type="dxa" w:w="2340"/>
          </w:tcPr>
          <w:p>
            <w:r>
              <w:t>MEDIUM</w:t>
            </w:r>
          </w:p>
        </w:tc>
        <w:tc>
          <w:tcPr>
            <w:tcW w:type="dxa" w:w="2340"/>
          </w:tcPr>
          <w:p>
            <w:r>
              <w:t>Bedrock inference not logged with user identity</w:t>
            </w:r>
          </w:p>
        </w:tc>
        <w:tc>
          <w:tcPr>
            <w:tcW w:type="dxa" w:w="2340"/>
          </w:tcPr>
          <w:p>
            <w:r>
              <w:t>**OPEN**</w:t>
            </w:r>
          </w:p>
        </w:tc>
      </w:tr>
      <w:tr>
        <w:tc>
          <w:tcPr>
            <w:tcW w:type="dxa" w:w="2340"/>
          </w:tcPr>
          <w:p>
            <w:r>
              <w:t>#007</w:t>
            </w:r>
          </w:p>
        </w:tc>
        <w:tc>
          <w:tcPr>
            <w:tcW w:type="dxa" w:w="2340"/>
          </w:tcPr>
          <w:p>
            <w:r>
              <w:t>MEDIUM</w:t>
            </w:r>
          </w:p>
        </w:tc>
        <w:tc>
          <w:tcPr>
            <w:tcW w:type="dxa" w:w="2340"/>
          </w:tcPr>
          <w:p>
            <w:r>
              <w:t>Insurance-Arbitration-contacts read without PITR/audit trail</w:t>
            </w:r>
          </w:p>
        </w:tc>
        <w:tc>
          <w:tcPr>
            <w:tcW w:type="dxa" w:w="2340"/>
          </w:tcPr>
          <w:p>
            <w:r>
              <w:t>**OPEN**</w:t>
            </w:r>
          </w:p>
        </w:tc>
      </w:tr>
      <w:tr>
        <w:tc>
          <w:tcPr>
            <w:tcW w:type="dxa" w:w="2340"/>
          </w:tcPr>
          <w:p>
            <w:r>
              <w:t>#008</w:t>
            </w:r>
          </w:p>
        </w:tc>
        <w:tc>
          <w:tcPr>
            <w:tcW w:type="dxa" w:w="2340"/>
          </w:tcPr>
          <w:p>
            <w:r>
              <w:t>LOW</w:t>
            </w:r>
          </w:p>
        </w:tc>
        <w:tc>
          <w:tcPr>
            <w:tcW w:type="dxa" w:w="2340"/>
          </w:tcPr>
          <w:p>
            <w:r>
              <w:t>ULID generation not seeded from KMS</w:t>
            </w:r>
          </w:p>
        </w:tc>
        <w:tc>
          <w:tcPr>
            <w:tcW w:type="dxa" w:w="2340"/>
          </w:tcPr>
          <w:p>
            <w:r>
              <w:t>**OPEN**</w:t>
            </w:r>
          </w:p>
        </w:tc>
      </w:tr>
      <w:tr>
        <w:tc>
          <w:tcPr>
            <w:tcW w:type="dxa" w:w="2340"/>
          </w:tcPr>
          <w:p>
            <w:r>
              <w:t>#009</w:t>
            </w:r>
          </w:p>
        </w:tc>
        <w:tc>
          <w:tcPr>
            <w:tcW w:type="dxa" w:w="2340"/>
          </w:tcPr>
          <w:p>
            <w:r>
              <w:t>LOW</w:t>
            </w:r>
          </w:p>
        </w:tc>
        <w:tc>
          <w:tcPr>
            <w:tcW w:type="dxa" w:w="2340"/>
          </w:tcPr>
          <w:p>
            <w:r>
              <w:t>No IaC for bucket-specialops (pre-existing, manual)</w:t>
            </w:r>
          </w:p>
        </w:tc>
        <w:tc>
          <w:tcPr>
            <w:tcW w:type="dxa" w:w="2340"/>
          </w:tcPr>
          <w:p>
            <w:r>
              <w:t>**OPEN**</w:t>
            </w:r>
          </w:p>
        </w:tc>
      </w:tr>
    </w:tbl>
    <w:p/>
    <w:p/>
    <w:p>
      <w:r>
        <w:t>Critical path for next sprint: #002 (VPC), #004 (PHI blocklist), #005 (review DLQ).</w:t>
      </w:r>
    </w:p>
    <w:p/>
    <w:p>
      <w:r>
        <w:t>────────────────────────────────────────────────────────────</w:t>
      </w:r>
    </w:p>
    <w:p/>
    <w:p>
      <w:pPr>
        <w:pStyle w:val="Heading2"/>
      </w:pPr>
      <w:r>
        <w:t>9. CDK Deployment</w:t>
      </w:r>
    </w:p>
    <w:p/>
    <w:p>
      <w:pPr>
        <w:pStyle w:val="NoSpacing"/>
      </w:pPr>
    </w:p>
    <w:p>
      <w:pPr>
        <w:pStyle w:val="NoSpacing"/>
      </w:pPr>
      <w:r>
        <w:rPr>
          <w:rFonts w:ascii="Courier New" w:hAnsi="Courier New"/>
          <w:sz w:val="16"/>
        </w:rPr>
        <w:t># Install dependencies</w:t>
      </w:r>
    </w:p>
    <w:p>
      <w:pPr>
        <w:pStyle w:val="NoSpacing"/>
      </w:pPr>
      <w:r>
        <w:rPr>
          <w:rFonts w:ascii="Courier New" w:hAnsi="Courier New"/>
          <w:sz w:val="16"/>
        </w:rPr>
        <w:t>npm ci</w:t>
      </w:r>
    </w:p>
    <w:p>
      <w:pPr>
        <w:pStyle w:val="NoSpacing"/>
      </w:pPr>
      <w:r>
        <w:rPr>
          <w:rFonts w:ascii="Courier New" w:hAnsi="Courier New"/>
          <w:sz w:val="16"/>
        </w:rPr>
      </w:r>
    </w:p>
    <w:p>
      <w:pPr>
        <w:pStyle w:val="NoSpacing"/>
      </w:pPr>
      <w:r>
        <w:rPr>
          <w:rFonts w:ascii="Courier New" w:hAnsi="Courier New"/>
          <w:sz w:val="16"/>
        </w:rPr>
        <w:t># Synthesize (review before deploying)</w:t>
      </w:r>
    </w:p>
    <w:p>
      <w:pPr>
        <w:pStyle w:val="NoSpacing"/>
      </w:pPr>
      <w:r>
        <w:rPr>
          <w:rFonts w:ascii="Courier New" w:hAnsi="Courier New"/>
          <w:sz w:val="16"/>
        </w:rPr>
        <w:t>npx cdk synth --context environment=sandbox --context bucketName=bucket-specialops-sandbox</w:t>
      </w:r>
    </w:p>
    <w:p>
      <w:pPr>
        <w:pStyle w:val="NoSpacing"/>
      </w:pPr>
      <w:r>
        <w:rPr>
          <w:rFonts w:ascii="Courier New" w:hAnsi="Courier New"/>
          <w:sz w:val="16"/>
        </w:rPr>
      </w:r>
    </w:p>
    <w:p>
      <w:pPr>
        <w:pStyle w:val="NoSpacing"/>
      </w:pPr>
      <w:r>
        <w:rPr>
          <w:rFonts w:ascii="Courier New" w:hAnsi="Courier New"/>
          <w:sz w:val="16"/>
        </w:rPr>
        <w:t># Deploy sandbox</w:t>
      </w:r>
    </w:p>
    <w:p>
      <w:pPr>
        <w:pStyle w:val="NoSpacing"/>
      </w:pPr>
      <w:r>
        <w:rPr>
          <w:rFonts w:ascii="Courier New" w:hAnsi="Courier New"/>
          <w:sz w:val="16"/>
        </w:rPr>
        <w:t>npx cdk deploy --context environment=sandbox --context bucketName=bucket-specialops-sandbox</w:t>
      </w:r>
    </w:p>
    <w:p>
      <w:pPr>
        <w:pStyle w:val="NoSpacing"/>
      </w:pPr>
      <w:r>
        <w:rPr>
          <w:rFonts w:ascii="Courier New" w:hAnsi="Courier New"/>
          <w:sz w:val="16"/>
        </w:rPr>
      </w:r>
    </w:p>
    <w:p>
      <w:pPr>
        <w:pStyle w:val="NoSpacing"/>
      </w:pPr>
      <w:r>
        <w:rPr>
          <w:rFonts w:ascii="Courier New" w:hAnsi="Courier New"/>
          <w:sz w:val="16"/>
        </w:rPr>
        <w:t># Deploy production</w:t>
      </w:r>
    </w:p>
    <w:p>
      <w:pPr>
        <w:pStyle w:val="NoSpacing"/>
      </w:pPr>
      <w:r>
        <w:rPr>
          <w:rFonts w:ascii="Courier New" w:hAnsi="Courier New"/>
          <w:sz w:val="16"/>
        </w:rPr>
        <w:t>npx cdk deploy --context environment=production --context bucketName=bucket-specialops</w:t>
      </w:r>
    </w:p>
    <w:p/>
    <w:p>
      <w:r>
        <w:t>CDK context keys:</w:t>
      </w:r>
    </w:p>
    <w:p>
      <w:pPr>
        <w:pStyle w:val="ListBullet"/>
      </w:pPr>
      <w:r>
        <w:t>environment — sandbox | production (controls RemovalPolicy + deletionProtection)</w:t>
      </w:r>
    </w:p>
    <w:p>
      <w:pPr>
        <w:pStyle w:val="ListBullet"/>
      </w:pPr>
      <w:r>
        <w:t>bucketName — source PDF bucket name</w:t>
      </w:r>
    </w:p>
    <w:p>
      <w:pPr>
        <w:pStyle w:val="ListBullet"/>
      </w:pPr>
      <w:r>
        <w:t>contactsTable — external contacts table (default: Insurance-Arbitration-contacts)</w:t>
      </w:r>
    </w:p>
    <w:p>
      <w:pPr>
        <w:pStyle w:val="ListBullet"/>
      </w:pPr>
      <w:r>
        <w:t>costCenter — cost allocation tag (default: engineering)</w:t>
      </w:r>
    </w:p>
    <w:p/>
    <w:p>
      <w:r>
        <w:t>────────────────────────────────────────────────────────────</w:t>
      </w:r>
    </w:p>
    <w:p/>
    <w:p>
      <w:pPr>
        <w:pStyle w:val="Heading2"/>
      </w:pPr>
      <w:r>
        <w:t>10. Running Tests</w:t>
      </w:r>
    </w:p>
    <w:p/>
    <w:p>
      <w:pPr>
        <w:pStyle w:val="NoSpacing"/>
      </w:pPr>
    </w:p>
    <w:p>
      <w:pPr>
        <w:pStyle w:val="NoSpacing"/>
      </w:pPr>
      <w:r>
        <w:rPr>
          <w:rFonts w:ascii="Courier New" w:hAnsi="Courier New"/>
          <w:sz w:val="16"/>
        </w:rPr>
        <w:t>npm run test             # all tests via Vitest</w:t>
      </w:r>
    </w:p>
    <w:p>
      <w:pPr>
        <w:pStyle w:val="NoSpacing"/>
      </w:pPr>
      <w:r>
        <w:rPr>
          <w:rFonts w:ascii="Courier New" w:hAnsi="Courier New"/>
          <w:sz w:val="16"/>
        </w:rPr>
        <w:t>npm run test:unit        # unit tests only (test/unit/)</w:t>
      </w:r>
    </w:p>
    <w:p>
      <w:pPr>
        <w:pStyle w:val="NoSpacing"/>
      </w:pPr>
      <w:r>
        <w:rPr>
          <w:rFonts w:ascii="Courier New" w:hAnsi="Courier New"/>
          <w:sz w:val="16"/>
        </w:rPr>
        <w:t>npm run test:watch       # watch mode</w:t>
      </w:r>
    </w:p>
    <w:p/>
    <w:p>
      <w:r>
        <w:t>────────────────────────────────────────────────────────────</w:t>
      </w:r>
    </w:p>
    <w:p/>
    <w:p>
      <w:pPr>
        <w:pStyle w:val="Heading2"/>
      </w:pPr>
      <w:r>
        <w:t>11. Architecture Decision Records</w:t>
      </w:r>
    </w:p>
    <w:p/>
    <w:tbl>
      <w:tblPr>
        <w:tblStyle w:val="TableGrid"/>
        <w:tblW w:type="auto" w:w="0"/>
        <w:tblLook w:firstColumn="1" w:firstRow="1" w:lastColumn="0" w:lastRow="0" w:noHBand="0" w:noVBand="1" w:val="04A0"/>
      </w:tblPr>
      <w:tblGrid>
        <w:gridCol w:w="4680"/>
        <w:gridCol w:w="4680"/>
      </w:tblGrid>
      <w:tr>
        <w:tc>
          <w:tcPr>
            <w:tcW w:type="dxa" w:w="4680"/>
          </w:tcPr>
          <w:p>
            <w:r>
              <w:rPr>
                <w:b/>
              </w:rPr>
              <w:t>Decision</w:t>
            </w:r>
          </w:p>
        </w:tc>
        <w:tc>
          <w:tcPr>
            <w:tcW w:type="dxa" w:w="4680"/>
          </w:tcPr>
          <w:p>
            <w:r>
              <w:rPr>
                <w:b/>
              </w:rPr>
              <w:t>Rationale</w:t>
            </w:r>
          </w:p>
        </w:tc>
      </w:tr>
      <w:tr>
        <w:tc>
          <w:tcPr>
            <w:tcW w:type="dxa" w:w="4680"/>
          </w:tcPr>
          <w:p>
            <w:r>
              <w:t>Step Functions STANDARD (not EXPRESS)</w:t>
            </w:r>
          </w:p>
        </w:tc>
        <w:tc>
          <w:tcPr>
            <w:tcW w:type="dxa" w:w="4680"/>
          </w:tcPr>
          <w:p>
            <w:r>
              <w:t>Execution history retention for audit; 15-min timeout sufficient</w:t>
            </w:r>
          </w:p>
        </w:tc>
      </w:tr>
      <w:tr>
        <w:tc>
          <w:tcPr>
            <w:tcW w:type="dxa" w:w="4680"/>
          </w:tcPr>
          <w:p>
            <w:r>
              <w:t>Bedrock fallback chain</w:t>
            </w:r>
          </w:p>
        </w:tc>
        <w:tc>
          <w:tcPr>
            <w:tcW w:type="dxa" w:w="4680"/>
          </w:tcPr>
          <w:p>
            <w:r>
              <w:t>On-demand quotas per model; chain ensures completion under throttling</w:t>
            </w:r>
          </w:p>
        </w:tc>
      </w:tr>
      <w:tr>
        <w:tc>
          <w:tcPr>
            <w:tcW w:type="dxa" w:w="4680"/>
          </w:tcPr>
          <w:p>
            <w:r>
              <w:t>ULID correlation IDs</w:t>
            </w:r>
          </w:p>
        </w:tc>
        <w:tc>
          <w:tcPr>
            <w:tcW w:type="dxa" w:w="4680"/>
          </w:tcPr>
          <w:p>
            <w:r>
              <w:t>Time-sortable, collision-resistant, no external dependency</w:t>
            </w:r>
          </w:p>
        </w:tc>
      </w:tr>
      <w:tr>
        <w:tc>
          <w:tcPr>
            <w:tcW w:type="dxa" w:w="4680"/>
          </w:tcPr>
          <w:p>
            <w:r>
              <w:t>Zod v4 schema validation</w:t>
            </w:r>
          </w:p>
        </w:tc>
        <w:tc>
          <w:tcPr>
            <w:tcW w:type="dxa" w:w="4680"/>
          </w:tcPr>
          <w:p>
            <w:r>
              <w:t>Runtime type safety at Lambda boundary; schema-as-truth for extraction contract</w:t>
            </w:r>
          </w:p>
        </w:tc>
      </w:tr>
      <w:tr>
        <w:tc>
          <w:tcPr>
            <w:tcW w:type="dxa" w:w="4680"/>
          </w:tcPr>
          <w:p>
            <w:r>
              <w:t>`includeExecutionData: false` on SFN logs</w:t>
            </w:r>
          </w:p>
        </w:tc>
        <w:tc>
          <w:tcPr>
            <w:tcW w:type="dxa" w:w="4680"/>
          </w:tcPr>
          <w:p>
            <w:r>
              <w:t>Prevents PHI (PDF content, extraction JSON) from appearing in CloudWatch</w:t>
            </w:r>
          </w:p>
        </w:tc>
      </w:tr>
      <w:tr>
        <w:tc>
          <w:tcPr>
            <w:tcW w:type="dxa" w:w="4680"/>
          </w:tcPr>
          <w:p>
            <w:r>
              <w:t>`attribute_not_exists` condition on DynamoDB PutItem</w:t>
            </w:r>
          </w:p>
        </w:tc>
        <w:tc>
          <w:tcPr>
            <w:tcW w:type="dxa" w:w="4680"/>
          </w:tcPr>
          <w:p>
            <w:r>
              <w:t>Idempotent writes; concurrent executions cannot overwrite existing extraction records</w:t>
            </w:r>
          </w:p>
        </w:tc>
      </w:tr>
      <w:tr>
        <w:tc>
          <w:tcPr>
            <w:tcW w:type="dxa" w:w="4680"/>
          </w:tcPr>
          <w:p>
            <w:r>
              <w:t>DLQ ingest maxReceiveCount=3</w:t>
            </w:r>
          </w:p>
        </w:tc>
        <w:tc>
          <w:tcPr>
            <w:tcW w:type="dxa" w:w="4680"/>
          </w:tcPr>
          <w:p>
            <w:r>
              <w:t>After 3 visibility-timeout expiries the message routes to DLQ for inspection</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