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D7" w:rsidRDefault="003328A1">
      <w:r>
        <w:t>Apêndice A</w:t>
      </w:r>
    </w:p>
    <w:p w:rsidR="003328A1" w:rsidRDefault="003328A1"/>
    <w:tbl>
      <w:tblPr>
        <w:tblW w:w="8256" w:type="dxa"/>
        <w:tblInd w:w="384" w:type="dxa"/>
        <w:tblLayout w:type="fixed"/>
        <w:tblCellMar>
          <w:left w:w="10" w:type="dxa"/>
          <w:right w:w="10" w:type="dxa"/>
        </w:tblCellMar>
        <w:tblLook w:val="0000"/>
      </w:tblPr>
      <w:tblGrid>
        <w:gridCol w:w="1459"/>
        <w:gridCol w:w="1821"/>
        <w:gridCol w:w="1480"/>
        <w:gridCol w:w="1148"/>
        <w:gridCol w:w="1366"/>
        <w:gridCol w:w="982"/>
      </w:tblGrid>
      <w:tr w:rsidR="003328A1" w:rsidTr="00756C93">
        <w:tc>
          <w:tcPr>
            <w:tcW w:w="145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PROPOSTAS SELECIONADAS</w:t>
            </w:r>
          </w:p>
          <w:p w:rsidR="003328A1" w:rsidRDefault="003328A1" w:rsidP="00756C93">
            <w:pPr>
              <w:pStyle w:val="TableContents"/>
              <w:spacing w:before="60" w:after="60"/>
              <w:jc w:val="both"/>
              <w:rPr>
                <w:rFonts w:eastAsia="IPNHMB+TimesNewRoman" w:cs="IPNHMB+TimesNewRoman"/>
                <w:sz w:val="16"/>
                <w:szCs w:val="16"/>
              </w:rPr>
            </w:pPr>
          </w:p>
        </w:tc>
      </w:tr>
      <w:tr w:rsidR="003328A1" w:rsidTr="004575E3">
        <w:tc>
          <w:tcPr>
            <w:tcW w:w="14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B</w:t>
            </w:r>
          </w:p>
        </w:tc>
        <w:tc>
          <w:tcPr>
            <w:tcW w:w="1366"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3328A1" w:rsidRPr="004575E3" w:rsidRDefault="003328A1" w:rsidP="00756C93">
            <w:pPr>
              <w:pStyle w:val="TableContents"/>
              <w:shd w:val="clear" w:color="auto" w:fill="FF0000"/>
              <w:spacing w:before="60" w:after="60"/>
              <w:jc w:val="both"/>
              <w:rPr>
                <w:rFonts w:eastAsia="IPNHMB+TimesNewRoman" w:cs="IPNHMB+TimesNewRoman"/>
                <w:sz w:val="16"/>
                <w:szCs w:val="16"/>
              </w:rPr>
            </w:pPr>
            <w:r w:rsidRPr="004575E3">
              <w:rPr>
                <w:rFonts w:eastAsia="IPNHMB+TimesNewRoman" w:cs="IPNHMB+TimesNewRoman"/>
                <w:sz w:val="16"/>
                <w:szCs w:val="16"/>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D</w:t>
            </w:r>
          </w:p>
        </w:tc>
      </w:tr>
      <w:tr w:rsidR="003328A1" w:rsidTr="00756C93">
        <w:tc>
          <w:tcPr>
            <w:tcW w:w="14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spacing w:before="60" w:after="60"/>
              <w:jc w:val="both"/>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328A1" w:rsidRDefault="003328A1" w:rsidP="00756C93">
            <w:pPr>
              <w:spacing w:before="60" w:after="60"/>
              <w:jc w:val="both"/>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INTEGRACAO FUNCIONAL COM NÃO FUNCIONAL</w:t>
            </w:r>
            <w:proofErr w:type="gramStart"/>
            <w:r>
              <w:rPr>
                <w:rFonts w:eastAsia="IPNHMB+TimesNewRoman" w:cs="IPNHMB+TimesNewRoman"/>
                <w:sz w:val="16"/>
                <w:szCs w:val="16"/>
              </w:rPr>
              <w:t xml:space="preserve">  </w:t>
            </w:r>
            <w:proofErr w:type="gramEnd"/>
            <w:r>
              <w:rPr>
                <w:rFonts w:eastAsia="IPNHMB+TimesNewRoman" w:cs="IPNHMB+TimesNewRoman"/>
                <w:sz w:val="16"/>
                <w:szCs w:val="16"/>
              </w:rPr>
              <w:t>(CYSNEIROS,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WRE-</w:t>
            </w:r>
            <w:proofErr w:type="gramStart"/>
            <w:r>
              <w:rPr>
                <w:rFonts w:eastAsia="IPNHMB+TimesNewRoman" w:cs="IPNHMB+TimesNewRoman"/>
                <w:sz w:val="16"/>
                <w:szCs w:val="16"/>
              </w:rPr>
              <w:t>PROCESS(</w:t>
            </w:r>
            <w:proofErr w:type="gramEnd"/>
            <w:r>
              <w:rPr>
                <w:rFonts w:eastAsia="IPNHMB+TimesNewRoman" w:cs="IPNHMB+TimesNewRoman"/>
                <w:sz w:val="16"/>
                <w:szCs w:val="16"/>
              </w:rPr>
              <w:t>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BPMNRNF (XAVIER, 2009)</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1</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RNF é ferramenta importante que falta para demonstração de conflitos e decisões de projeto. Pode-se utilizar o RNF- Framework para substituir ou usar em conjunto com </w:t>
            </w:r>
          </w:p>
          <w:p w:rsidR="003328A1" w:rsidRDefault="003328A1" w:rsidP="00756C93">
            <w:pPr>
              <w:pStyle w:val="TableContents"/>
              <w:spacing w:before="60" w:after="60"/>
              <w:jc w:val="both"/>
            </w:pPr>
            <w:proofErr w:type="gramStart"/>
            <w:r>
              <w:rPr>
                <w:rFonts w:eastAsia="IPNHMB+TimesNewRoman" w:cs="IPNHMB+TimesNewRoman"/>
                <w:sz w:val="16"/>
                <w:szCs w:val="16"/>
              </w:rPr>
              <w:t>as</w:t>
            </w:r>
            <w:proofErr w:type="gramEnd"/>
            <w:r>
              <w:rPr>
                <w:rFonts w:eastAsia="IPNHMB+TimesNewRoman" w:cs="IPNHMB+TimesNewRoman"/>
                <w:sz w:val="16"/>
                <w:szCs w:val="16"/>
              </w:rPr>
              <w:t xml:space="preserve">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2</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pPr>
            <w:r>
              <w:rPr>
                <w:rFonts w:eastAsia="IPNHMB+TimesNewRoman" w:cs="IPNHMB+TimesNewRoman"/>
                <w:sz w:val="16"/>
                <w:szCs w:val="16"/>
              </w:rPr>
              <w:t xml:space="preserve">Importante na formação de uma terminologia comum ou ontologia que 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podem 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O LAL pode ser utilizado na abordagem BPMNRNF. Pode-se usa o LAL como ancora para a definição dos nomes dos</w:t>
            </w:r>
            <w:proofErr w:type="gramStart"/>
            <w:r>
              <w:rPr>
                <w:rFonts w:eastAsia="IPNHMB+TimesNewRoman" w:cs="IPNHMB+TimesNewRoman"/>
                <w:sz w:val="16"/>
                <w:szCs w:val="16"/>
              </w:rPr>
              <w:t xml:space="preserve">  </w:t>
            </w:r>
            <w:proofErr w:type="gramEnd"/>
            <w:r>
              <w:rPr>
                <w:rFonts w:eastAsia="IPNHMB+TimesNewRoman" w:cs="IPNHMB+TimesNewRoman"/>
                <w:sz w:val="16"/>
                <w:szCs w:val="16"/>
              </w:rPr>
              <w:t>elementos  dos modelos de negócio e dos RNF,s.</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3</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Mantém complementar ao RUP, que é</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complementado pela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(2001)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Mantém complementar ao RUP, que é</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complementado pelo </w:t>
            </w:r>
            <w:proofErr w:type="spellStart"/>
            <w:r>
              <w:rPr>
                <w:rFonts w:eastAsia="IPNHMB+TimesNewRoman" w:cs="IPNHMB+TimesNewRoman"/>
                <w:sz w:val="16"/>
                <w:szCs w:val="16"/>
              </w:rPr>
              <w:t>WER-Process</w:t>
            </w:r>
            <w:proofErr w:type="spellEnd"/>
            <w:r>
              <w:rPr>
                <w:rFonts w:eastAsia="IPNHMB+TimesNewRoman" w:cs="IPNHMB+TimesNewRoman"/>
                <w:sz w:val="16"/>
                <w:szCs w:val="16"/>
              </w:rPr>
              <w:t xml:space="preserve">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Mantém complementar ao RUP, que é</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complementado pelo BPMNRNF(XAVIER, 2009) e pode ser usado como metodologia   para garantia de qualidade.  .  </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4</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Apresenta-se mais popular no quesito modelagem de processos de negocio que a UML utilizada por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Porem a UML é mais </w:t>
            </w:r>
            <w:proofErr w:type="gramStart"/>
            <w:r>
              <w:rPr>
                <w:rFonts w:eastAsia="IPNHMB+TimesNewRoman" w:cs="IPNHMB+TimesNewRoman"/>
                <w:sz w:val="16"/>
                <w:szCs w:val="16"/>
              </w:rPr>
              <w:t>completa</w:t>
            </w:r>
            <w:proofErr w:type="gramEnd"/>
            <w:r>
              <w:rPr>
                <w:rFonts w:eastAsia="IPNHMB+TimesNewRoman" w:cs="IPNHMB+TimesNewRoman"/>
                <w:sz w:val="16"/>
                <w:szCs w:val="16"/>
              </w:rPr>
              <w:t xml:space="preserve">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Didier também faz referência à UML e não ao BPMN. Porém as semelhanças entre UML e BPMN no que tange a modelagem de processos de negócio e o fato de que as duas notações estão sob os cuidados da OMG</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levam a crer que a notação possa vir a ser uma como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A proposta 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Ramires no que tange a necessidade de que haja uma boa comunicação  e visão  comum de processos de negócios entres 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(negociadores) mostra que o uso do BPMN como instrumento de referência visual dos processos de negocio tem o </w:t>
            </w:r>
            <w:proofErr w:type="spellStart"/>
            <w:r>
              <w:rPr>
                <w:rFonts w:eastAsia="IPNHMB+TimesNewRoman" w:cs="IPNHMB+TimesNewRoman"/>
                <w:sz w:val="16"/>
                <w:szCs w:val="16"/>
              </w:rPr>
              <w:t>potêncial</w:t>
            </w:r>
            <w:proofErr w:type="spellEnd"/>
            <w:r>
              <w:rPr>
                <w:rFonts w:eastAsia="IPNHMB+TimesNewRoman" w:cs="IPNHMB+TimesNewRoman"/>
                <w:sz w:val="16"/>
                <w:szCs w:val="16"/>
              </w:rPr>
              <w:t xml:space="preserve">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p w:rsidR="003328A1" w:rsidRDefault="003328A1" w:rsidP="00756C93">
            <w:pPr>
              <w:pStyle w:val="TableContents"/>
              <w:spacing w:before="60" w:after="60"/>
              <w:jc w:val="both"/>
              <w:rPr>
                <w:rFonts w:eastAsia="IPNHMB+TimesNewRoman" w:cs="IPNHMB+TimesNewRoman"/>
                <w:sz w:val="16"/>
                <w:szCs w:val="16"/>
              </w:rPr>
            </w:pP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5</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w:t>
            </w:r>
            <w:proofErr w:type="spellStart"/>
            <w:r>
              <w:rPr>
                <w:rFonts w:eastAsia="IPNHMB+TimesNewRoman" w:cs="IPNHMB+TimesNewRoman"/>
                <w:sz w:val="16"/>
                <w:szCs w:val="16"/>
              </w:rPr>
              <w:t>motra-se</w:t>
            </w:r>
            <w:proofErr w:type="spellEnd"/>
            <w:r>
              <w:rPr>
                <w:rFonts w:eastAsia="IPNHMB+TimesNewRoman" w:cs="IPNHMB+TimesNewRoman"/>
                <w:sz w:val="16"/>
                <w:szCs w:val="16"/>
              </w:rPr>
              <w:t xml:space="preserve"> bastante útil à racionalização das argumentações das posições tomadas durante as negociações do processo de negociação proposto por Ramires que é baseado no IBIS. Auxilia a racionalização e </w:t>
            </w:r>
            <w:proofErr w:type="gramStart"/>
            <w:r>
              <w:rPr>
                <w:rFonts w:eastAsia="IPNHMB+TimesNewRoman" w:cs="IPNHMB+TimesNewRoman"/>
                <w:sz w:val="16"/>
                <w:szCs w:val="16"/>
              </w:rPr>
              <w:t>agiliza</w:t>
            </w:r>
            <w:proofErr w:type="gramEnd"/>
            <w:r>
              <w:rPr>
                <w:rFonts w:eastAsia="IPNHMB+TimesNewRoman" w:cs="IPNHMB+TimesNewRoman"/>
                <w:sz w:val="16"/>
                <w:szCs w:val="16"/>
              </w:rPr>
              <w:t xml:space="preserve"> as tomadas de decisão porque alimenta o 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Didier traz o benefício do Glossário Léxico que é baseado no uso do LAL que por sua vez é baseada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O Glossário Léxico e o LAL são as peças chave para uma boa comunicação porque podem evitar a dispersão de termos em negociações de conflitos e ajudar a garantir a qualidade da comunicação entre </w:t>
            </w:r>
            <w:proofErr w:type="spellStart"/>
            <w:r>
              <w:rPr>
                <w:rFonts w:eastAsia="IPNHMB+TimesNewRoman" w:cs="IPNHMB+TimesNewRoman"/>
                <w:sz w:val="16"/>
                <w:szCs w:val="16"/>
              </w:rPr>
              <w:t>stakeholders</w:t>
            </w:r>
            <w:proofErr w:type="spellEnd"/>
            <w:r>
              <w:rPr>
                <w:rFonts w:eastAsia="IPNHMB+TimesNewRoman" w:cs="IPNHMB+TimesNewRoman"/>
                <w:sz w:val="16"/>
                <w:szCs w:val="16"/>
              </w:rPr>
              <w:t>,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A abordagem BPMNRNF supri uma necessidade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de consideração de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que o BPMN tinha. A abordagem pode ser utilizada como referência dos processos de negócios e restrições dos processos de negócio, o que pode ajudar na racionalização das argumentações das posições durante as negociações que passaria a ser mais centradas no negócio.</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6</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Técnica de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A estratégia de CYSNEIROS pode ser reforçada</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pelo o uso da técnica de </w:t>
            </w:r>
            <w:proofErr w:type="spellStart"/>
            <w:r>
              <w:rPr>
                <w:rFonts w:eastAsia="IPNHMB+TimesNewRoman" w:cs="IPNHMB+TimesNewRoman"/>
                <w:sz w:val="16"/>
                <w:szCs w:val="16"/>
              </w:rPr>
              <w:t>Toranzo</w:t>
            </w:r>
            <w:proofErr w:type="spellEnd"/>
            <w:r>
              <w:rPr>
                <w:rFonts w:eastAsia="IPNHMB+TimesNewRoman" w:cs="IPNHMB+TimesNewRoman"/>
                <w:sz w:val="16"/>
                <w:szCs w:val="16"/>
              </w:rPr>
              <w:t xml:space="preserve">. </w:t>
            </w:r>
            <w:proofErr w:type="gramStart"/>
            <w:r>
              <w:rPr>
                <w:rFonts w:eastAsia="IPNHMB+TimesNewRoman" w:cs="IPNHMB+TimesNewRoman"/>
                <w:sz w:val="16"/>
                <w:szCs w:val="16"/>
              </w:rPr>
              <w:t>Pode-se atribuir</w:t>
            </w:r>
            <w:proofErr w:type="gramEnd"/>
            <w:r>
              <w:rPr>
                <w:rFonts w:eastAsia="IPNHMB+TimesNewRoman" w:cs="IPNHMB+TimesNewRoman"/>
                <w:sz w:val="16"/>
                <w:szCs w:val="16"/>
              </w:rPr>
              <w:t xml:space="preserve">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técnica de TORANZO suportaria a racionalização das argumentações das posições tomadas perante os conflitos de interesses causados pelos conflitos entre requisitos. Essa técnica pode ser usada em conjunto com o LAL e com 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para se formar uma estratégia de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mais eficaz e </w:t>
            </w:r>
            <w:proofErr w:type="spellStart"/>
            <w:r>
              <w:rPr>
                <w:rFonts w:eastAsia="IPNHMB+TimesNewRoman" w:cs="IPNHMB+TimesNewRoman"/>
                <w:sz w:val="16"/>
                <w:szCs w:val="16"/>
              </w:rPr>
              <w:t>eficiênte</w:t>
            </w:r>
            <w:proofErr w:type="spellEnd"/>
            <w:r>
              <w:rPr>
                <w:rFonts w:eastAsia="IPNHMB+TimesNewRoman" w:cs="IPNHMB+TimesNewRoman"/>
                <w:sz w:val="16"/>
                <w:szCs w:val="16"/>
              </w:rPr>
              <w:t xml:space="preserve">. Tendo-se uma estratégia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que funcione bem </w:t>
            </w:r>
            <w:proofErr w:type="spellStart"/>
            <w:r>
              <w:rPr>
                <w:rFonts w:eastAsia="IPNHMB+TimesNewRoman" w:cs="IPNHMB+TimesNewRoman"/>
                <w:sz w:val="16"/>
                <w:szCs w:val="16"/>
              </w:rPr>
              <w:t>poderá-se</w:t>
            </w:r>
            <w:proofErr w:type="spellEnd"/>
            <w:r>
              <w:rPr>
                <w:rFonts w:eastAsia="IPNHMB+TimesNewRoman" w:cs="IPNHMB+TimesNewRoman"/>
                <w:sz w:val="16"/>
                <w:szCs w:val="16"/>
              </w:rPr>
              <w:t xml:space="preserve"> gerar </w:t>
            </w:r>
            <w:proofErr w:type="gramStart"/>
            <w:r>
              <w:rPr>
                <w:rFonts w:eastAsia="IPNHMB+TimesNewRoman" w:cs="IPNHMB+TimesNewRoman"/>
                <w:sz w:val="16"/>
                <w:szCs w:val="16"/>
              </w:rPr>
              <w:t xml:space="preserve">informações </w:t>
            </w:r>
            <w:proofErr w:type="spellStart"/>
            <w:r>
              <w:rPr>
                <w:rFonts w:eastAsia="IPNHMB+TimesNewRoman" w:cs="IPNHMB+TimesNewRoman"/>
                <w:sz w:val="16"/>
                <w:szCs w:val="16"/>
              </w:rPr>
              <w:t>utéis</w:t>
            </w:r>
            <w:proofErr w:type="spellEnd"/>
            <w:r>
              <w:rPr>
                <w:rFonts w:eastAsia="IPNHMB+TimesNewRoman" w:cs="IPNHMB+TimesNewRoman"/>
                <w:sz w:val="16"/>
                <w:szCs w:val="16"/>
              </w:rPr>
              <w:t xml:space="preserve"> aos negociadores a respeito dos conflitos que ocorrem durante o processo de desenvolvimento e com isso atribui-se</w:t>
            </w:r>
            <w:proofErr w:type="gramEnd"/>
            <w:r>
              <w:rPr>
                <w:rFonts w:eastAsia="IPNHMB+TimesNewRoman" w:cs="IPNHMB+TimesNewRoman"/>
                <w:sz w:val="16"/>
                <w:szCs w:val="16"/>
              </w:rPr>
              <w:t xml:space="preserve"> mais racionalidade e transparência para a </w:t>
            </w:r>
            <w:proofErr w:type="spellStart"/>
            <w:r>
              <w:rPr>
                <w:rFonts w:eastAsia="IPNHMB+TimesNewRoman" w:cs="IPNHMB+TimesNewRoman"/>
                <w:sz w:val="16"/>
                <w:szCs w:val="16"/>
              </w:rPr>
              <w:t>negociaçã</w:t>
            </w:r>
            <w:proofErr w:type="spellEnd"/>
            <w:r>
              <w:rPr>
                <w:rFonts w:eastAsia="IPNHMB+TimesNewRoman" w:cs="IPNHMB+TimesNewRoman"/>
                <w:sz w:val="16"/>
                <w:szCs w:val="16"/>
              </w:rPr>
              <w:t xml:space="preserve"> e com isso aumenta-se o interesse dos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Com o uso da técnica de TORANZO em conjunto com a proposta de</w:t>
            </w:r>
          </w:p>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Xavier </w:t>
            </w:r>
            <w:proofErr w:type="spellStart"/>
            <w:r>
              <w:rPr>
                <w:rFonts w:eastAsia="IPNHMB+TimesNewRoman" w:cs="IPNHMB+TimesNewRoman"/>
                <w:sz w:val="16"/>
                <w:szCs w:val="16"/>
              </w:rPr>
              <w:t>poderá-se</w:t>
            </w:r>
            <w:proofErr w:type="spellEnd"/>
            <w:r>
              <w:rPr>
                <w:rFonts w:eastAsia="IPNHMB+TimesNewRoman" w:cs="IPNHMB+TimesNewRoman"/>
                <w:sz w:val="16"/>
                <w:szCs w:val="16"/>
              </w:rPr>
              <w:t xml:space="preserve"> fortalecer as negociações do processo de</w:t>
            </w:r>
            <w:proofErr w:type="gramStart"/>
            <w:r>
              <w:rPr>
                <w:rFonts w:eastAsia="IPNHMB+TimesNewRoman" w:cs="IPNHMB+TimesNewRoman"/>
                <w:sz w:val="16"/>
                <w:szCs w:val="16"/>
              </w:rPr>
              <w:t xml:space="preserve">  </w:t>
            </w:r>
            <w:proofErr w:type="gramEnd"/>
            <w:r>
              <w:rPr>
                <w:rFonts w:eastAsia="IPNHMB+TimesNewRoman" w:cs="IPNHMB+TimesNewRoman"/>
                <w:sz w:val="16"/>
                <w:szCs w:val="16"/>
              </w:rPr>
              <w:t>negociação proposto por Ramires com informações sobre o negócio integradas aos RNF, o que poderá ser útil para os negociadores embasar suas posições.</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7</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A UML não é referenciada na estratégia de Ramires</w:t>
            </w:r>
            <w:proofErr w:type="gramStart"/>
            <w:r>
              <w:rPr>
                <w:rFonts w:eastAsia="IPNHMB+TimesNewRoman" w:cs="IPNHMB+TimesNewRoman"/>
                <w:sz w:val="16"/>
                <w:szCs w:val="16"/>
              </w:rPr>
              <w:t xml:space="preserve"> porém</w:t>
            </w:r>
            <w:proofErr w:type="gramEnd"/>
            <w:r>
              <w:rPr>
                <w:rFonts w:eastAsia="IPNHMB+TimesNewRoman" w:cs="IPNHMB+TimesNewRoman"/>
                <w:sz w:val="16"/>
                <w:szCs w:val="16"/>
              </w:rPr>
              <w:t xml:space="preserve"> pode 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w:t>
            </w:r>
            <w:proofErr w:type="gramStart"/>
            <w:r>
              <w:rPr>
                <w:rFonts w:eastAsia="IPNHMB+TimesNewRoman" w:cs="IPNHMB+TimesNewRoman"/>
                <w:sz w:val="16"/>
                <w:szCs w:val="16"/>
              </w:rPr>
              <w:t xml:space="preserve">  </w:t>
            </w:r>
            <w:proofErr w:type="gramEnd"/>
            <w:r>
              <w:rPr>
                <w:rFonts w:eastAsia="IPNHMB+TimesNewRoman" w:cs="IPNHMB+TimesNewRoman"/>
                <w:sz w:val="16"/>
                <w:szCs w:val="16"/>
              </w:rPr>
              <w:t>requisitos, por exemplo, pode-se alimentar o processo de negociação com informações úteis e ágeis garantido-se assim uma negociação de requisitos proativa e voltada ao processo de 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proofErr w:type="spellStart"/>
            <w:r>
              <w:rPr>
                <w:rFonts w:eastAsia="IPNHMB+TimesNewRoman" w:cs="IPNHMB+TimesNewRoman"/>
                <w:sz w:val="16"/>
                <w:szCs w:val="16"/>
              </w:rPr>
              <w:t>uml</w:t>
            </w:r>
            <w:proofErr w:type="spellEnd"/>
            <w:r>
              <w:rPr>
                <w:rFonts w:eastAsia="IPNHMB+TimesNewRoman" w:cs="IPNHMB+TimesNewRoman"/>
                <w:sz w:val="16"/>
                <w:szCs w:val="16"/>
              </w:rPr>
              <w:t xml:space="preserve"> x </w:t>
            </w:r>
            <w:proofErr w:type="spellStart"/>
            <w:r>
              <w:rPr>
                <w:rFonts w:eastAsia="IPNHMB+TimesNewRoman" w:cs="IPNHMB+TimesNewRoman"/>
                <w:sz w:val="16"/>
                <w:szCs w:val="16"/>
              </w:rPr>
              <w:t>bpmn</w:t>
            </w:r>
            <w:proofErr w:type="spellEnd"/>
            <w:r>
              <w:rPr>
                <w:rFonts w:eastAsia="IPNHMB+TimesNewRoman" w:cs="IPNHMB+TimesNewRoman"/>
                <w:sz w:val="16"/>
                <w:szCs w:val="16"/>
              </w:rPr>
              <w:t>)</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8</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O processo de engenharia de requisitos proposto por Didier não cita a OCL porem é bastante compatível com</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a proposta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que utiliza a OCL como forma de integração dos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Ramires, em seu processo de negociação, apresenta o IBIS como base para o sistema MEG de suporte para negociação de requisitos, que apesar de suportar a exposição de argumentos para as posições tomadas durante as negociações não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cobri formas de suportar a racionalização das argumentações utilizadas nas negociações. A OCL pode ser utilizada como linguagem para representação de restrições em operações e por isso é utilizada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para representar RNF nos diagramas UML, o que ajuda na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Durante esta pesquisa não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se cogitou a possibilidade elaboração de formar para </w:t>
            </w:r>
            <w:proofErr w:type="spellStart"/>
            <w:r>
              <w:rPr>
                <w:rFonts w:eastAsia="IPNHMB+TimesNewRoman" w:cs="IPNHMB+TimesNewRoman"/>
                <w:sz w:val="16"/>
                <w:szCs w:val="16"/>
              </w:rPr>
              <w:t>integerar</w:t>
            </w:r>
            <w:proofErr w:type="spellEnd"/>
            <w:r>
              <w:rPr>
                <w:rFonts w:eastAsia="IPNHMB+TimesNewRoman" w:cs="IPNHMB+TimesNewRoman"/>
                <w:sz w:val="16"/>
                <w:szCs w:val="16"/>
              </w:rPr>
              <w:t xml:space="preserve"> O BPMN aos RNF através de OCL. Por isso uma análise neste sentido seria válida para verificar as vantagens de uso da OCL ao invés dos rótulos propostos por XAVIER. Por isso uma pesquisa a mais poderia ser feita. Nota-se que por si só o BPMNRNF não abrange todos os aspectos de negócio como EPBE</w:t>
            </w:r>
            <w:proofErr w:type="gramStart"/>
            <w:r>
              <w:rPr>
                <w:rFonts w:eastAsia="IPNHMB+TimesNewRoman" w:cs="IPNHMB+TimesNewRoman"/>
                <w:sz w:val="16"/>
                <w:szCs w:val="16"/>
              </w:rPr>
              <w:t xml:space="preserve"> por exemplo</w:t>
            </w:r>
            <w:proofErr w:type="gramEnd"/>
            <w:r>
              <w:rPr>
                <w:rFonts w:eastAsia="IPNHMB+TimesNewRoman" w:cs="IPNHMB+TimesNewRoman"/>
                <w:sz w:val="16"/>
                <w:szCs w:val="16"/>
              </w:rPr>
              <w:t xml:space="preserve"> que é uma extensão da UML. O uso da OCL ao invés dos rótulos traria mais compatibilidade à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w:t>
            </w:r>
            <w:proofErr w:type="gramStart"/>
            <w:r>
              <w:rPr>
                <w:rFonts w:eastAsia="IPNHMB+TimesNewRoman" w:cs="IPNHMB+TimesNewRoman"/>
                <w:sz w:val="16"/>
                <w:szCs w:val="16"/>
              </w:rPr>
              <w:t xml:space="preserve">( </w:t>
            </w:r>
            <w:proofErr w:type="gramEnd"/>
            <w:r>
              <w:rPr>
                <w:rFonts w:eastAsia="IPNHMB+TimesNewRoman" w:cs="IPNHMB+TimesNewRoman"/>
                <w:sz w:val="16"/>
                <w:szCs w:val="16"/>
              </w:rPr>
              <w:t>2001)</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9</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RUP não é referenciado </w:t>
            </w:r>
            <w:proofErr w:type="gramStart"/>
            <w:r>
              <w:rPr>
                <w:rFonts w:eastAsia="IPNHMB+TimesNewRoman" w:cs="IPNHMB+TimesNewRoman"/>
                <w:sz w:val="16"/>
                <w:szCs w:val="16"/>
              </w:rPr>
              <w:t>na estratégias</w:t>
            </w:r>
            <w:proofErr w:type="gramEnd"/>
            <w:r>
              <w:rPr>
                <w:rFonts w:eastAsia="IPNHMB+TimesNewRoman" w:cs="IPNHMB+TimesNewRoman"/>
                <w:sz w:val="16"/>
                <w:szCs w:val="16"/>
              </w:rPr>
              <w:t xml:space="preserve">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processo de negociação de requisitos proposto por Ramires é uma processo especifico da engenharia de requisitos, que por sua vez se da dentro de um processo de desenvolvimento de software. Percebe-se a existência de </w:t>
            </w:r>
            <w:proofErr w:type="gramStart"/>
            <w:r>
              <w:rPr>
                <w:rFonts w:eastAsia="IPNHMB+TimesNewRoman" w:cs="IPNHMB+TimesNewRoman"/>
                <w:sz w:val="16"/>
                <w:szCs w:val="16"/>
              </w:rPr>
              <w:t>um certo</w:t>
            </w:r>
            <w:proofErr w:type="gramEnd"/>
            <w:r>
              <w:rPr>
                <w:rFonts w:eastAsia="IPNHMB+TimesNewRoman" w:cs="IPNHMB+TimesNewRoman"/>
                <w:sz w:val="16"/>
                <w:szCs w:val="16"/>
              </w:rPr>
              <w:t xml:space="preserve"> grau de   alinhamento entre  os processos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RNF (</w:t>
            </w:r>
            <w:proofErr w:type="spellStart"/>
            <w:r>
              <w:rPr>
                <w:rFonts w:eastAsia="IPNHMB+TimesNewRoman" w:cs="IPNHMB+TimesNewRoman"/>
                <w:sz w:val="16"/>
                <w:szCs w:val="16"/>
              </w:rPr>
              <w:t>Cysneiros</w:t>
            </w:r>
            <w:proofErr w:type="spellEnd"/>
            <w:r>
              <w:rPr>
                <w:rFonts w:eastAsia="IPNHMB+TimesNewRoman" w:cs="IPNHMB+TimesNewRoman"/>
                <w:sz w:val="16"/>
                <w:szCs w:val="16"/>
              </w:rPr>
              <w:t>,2001),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A abordagem</w:t>
            </w:r>
          </w:p>
          <w:p w:rsidR="003328A1" w:rsidRDefault="003328A1" w:rsidP="00756C93">
            <w:pPr>
              <w:pStyle w:val="TableContents"/>
              <w:spacing w:before="60" w:after="60"/>
              <w:jc w:val="both"/>
              <w:rPr>
                <w:rFonts w:eastAsia="IPNHMB+TimesNewRoman" w:cs="IPNHMB+TimesNewRoman"/>
                <w:sz w:val="16"/>
                <w:szCs w:val="16"/>
                <w:shd w:val="clear" w:color="auto" w:fill="FFFF00"/>
              </w:rPr>
            </w:pPr>
            <w:r>
              <w:rPr>
                <w:rFonts w:eastAsia="IPNHMB+TimesNewRoman" w:cs="IPNHMB+TimesNewRoman"/>
                <w:sz w:val="16"/>
                <w:szCs w:val="16"/>
              </w:rPr>
              <w:t xml:space="preserve">BPMNRNF complementa o RUP focando-se na análise de processo de negócio. </w:t>
            </w:r>
          </w:p>
        </w:tc>
      </w:tr>
      <w:tr w:rsidR="003328A1" w:rsidTr="00756C9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proposta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RNF e integração de visões funcional e não funcional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utilizou o software OORNF e realizou uma adaptação à </w:t>
            </w:r>
            <w:proofErr w:type="spellStart"/>
            <w:r>
              <w:rPr>
                <w:rFonts w:eastAsia="IPNHMB+TimesNewRoman" w:cs="IPNHMB+TimesNewRoman"/>
                <w:sz w:val="16"/>
                <w:szCs w:val="16"/>
              </w:rPr>
              <w:t>ferramento</w:t>
            </w:r>
            <w:proofErr w:type="spellEnd"/>
            <w:r>
              <w:rPr>
                <w:rFonts w:eastAsia="IPNHMB+TimesNewRoman" w:cs="IPNHMB+TimesNewRoman"/>
                <w:sz w:val="16"/>
                <w:szCs w:val="16"/>
              </w:rPr>
              <w:t xml:space="preserve"> para suportar a </w:t>
            </w:r>
            <w:proofErr w:type="spellStart"/>
            <w:r>
              <w:rPr>
                <w:rFonts w:eastAsia="IPNHMB+TimesNewRoman" w:cs="IPNHMB+TimesNewRoman"/>
                <w:sz w:val="16"/>
                <w:szCs w:val="16"/>
              </w:rPr>
              <w:t>estensão</w:t>
            </w:r>
            <w:proofErr w:type="spellEnd"/>
            <w:r>
              <w:rPr>
                <w:rFonts w:eastAsia="IPNHMB+TimesNewRoman" w:cs="IPNHMB+TimesNewRoman"/>
                <w:sz w:val="16"/>
                <w:szCs w:val="16"/>
              </w:rPr>
              <w:t xml:space="preserve"> feita no LAL que visava suportar a natureza evolutiva do RNF e negociações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Não foi obtido sucesso nesta pesquisa em descobrir qual a linguagem de programação. Atualmente há ferramentas que suportam o LAL e Cenários, como o </w:t>
            </w:r>
            <w:proofErr w:type="spellStart"/>
            <w:r>
              <w:rPr>
                <w:rFonts w:eastAsia="IPNHMB+TimesNewRoman" w:cs="IPNHMB+TimesNewRoman"/>
                <w:sz w:val="16"/>
                <w:szCs w:val="16"/>
              </w:rPr>
              <w:t>C&amp;L</w:t>
            </w:r>
            <w:proofErr w:type="spellEnd"/>
            <w:r>
              <w:rPr>
                <w:rFonts w:eastAsia="IPNHMB+TimesNewRoman" w:cs="IPNHMB+TimesNewRoman"/>
                <w:sz w:val="16"/>
                <w:szCs w:val="16"/>
              </w:rPr>
              <w:t xml:space="preserve">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Em sua proposta, Didier não utiliza nenhuma</w:t>
            </w:r>
            <w:proofErr w:type="gramStart"/>
            <w:r>
              <w:rPr>
                <w:rFonts w:eastAsia="IPNHMB+TimesNewRoman" w:cs="IPNHMB+TimesNewRoman"/>
                <w:sz w:val="16"/>
                <w:szCs w:val="16"/>
              </w:rPr>
              <w:t xml:space="preserve">  </w:t>
            </w:r>
            <w:proofErr w:type="gramEnd"/>
            <w:r>
              <w:rPr>
                <w:rFonts w:eastAsia="IPNHMB+TimesNewRoman" w:cs="IPNHMB+TimesNewRoman"/>
                <w:sz w:val="16"/>
                <w:szCs w:val="16"/>
              </w:rPr>
              <w:t>ferramenta para</w:t>
            </w:r>
          </w:p>
          <w:p w:rsidR="003328A1" w:rsidRDefault="003328A1" w:rsidP="00756C9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apoiar</w:t>
            </w:r>
            <w:proofErr w:type="gramEnd"/>
            <w:r>
              <w:rPr>
                <w:rFonts w:eastAsia="IPNHMB+TimesNewRoman" w:cs="IPNHMB+TimesNewRoman"/>
                <w:sz w:val="16"/>
                <w:szCs w:val="16"/>
              </w:rPr>
              <w:t xml:space="preserve"> o seu processo de Engenharia de requisitos. Desta forma a proposta de Didier apresenta-se flexível para 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uso de ferramentas de apóio ao processo. Em qualquer linguagem de programação. </w:t>
            </w:r>
          </w:p>
          <w:p w:rsidR="003328A1" w:rsidRDefault="003328A1" w:rsidP="00756C93">
            <w:pPr>
              <w:pStyle w:val="TableContents"/>
              <w:spacing w:before="60" w:after="60"/>
              <w:jc w:val="both"/>
              <w:rPr>
                <w:rFonts w:eastAsia="IPNHMB+TimesNewRoman" w:cs="IPNHMB+TimesNewRoman"/>
                <w:sz w:val="16"/>
                <w:szCs w:val="16"/>
              </w:rPr>
            </w:pPr>
          </w:p>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proofErr w:type="spellStart"/>
            <w:r>
              <w:rPr>
                <w:rFonts w:eastAsia="IPNHMB+TimesNewRoman" w:cs="IPNHMB+TimesNewRoman"/>
                <w:sz w:val="16"/>
                <w:szCs w:val="16"/>
              </w:rPr>
              <w:t>Didierutiliza</w:t>
            </w:r>
            <w:proofErr w:type="spellEnd"/>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a ferramenta </w:t>
            </w:r>
            <w:proofErr w:type="spellStart"/>
            <w:r>
              <w:rPr>
                <w:rFonts w:eastAsia="IPNHMB+TimesNewRoman" w:cs="IPNHMB+TimesNewRoman"/>
                <w:sz w:val="16"/>
                <w:szCs w:val="16"/>
              </w:rPr>
              <w:t>DreamWeaver</w:t>
            </w:r>
            <w:proofErr w:type="spellEnd"/>
            <w:r>
              <w:rPr>
                <w:rFonts w:eastAsia="IPNHMB+TimesNewRoman" w:cs="IPNHMB+TimesNewRoman"/>
                <w:sz w:val="16"/>
                <w:szCs w:val="16"/>
              </w:rPr>
              <w:t xml:space="preserve"> para a geração de páginas HTML  na atividade “Definir Protótipo de Interface”. A ferramenta </w:t>
            </w:r>
            <w:proofErr w:type="spellStart"/>
            <w:proofErr w:type="gramStart"/>
            <w:r>
              <w:rPr>
                <w:rFonts w:eastAsia="IPNHMB+TimesNewRoman" w:cs="IPNHMB+TimesNewRoman"/>
                <w:sz w:val="16"/>
                <w:szCs w:val="16"/>
              </w:rPr>
              <w:t>DreamWeaver</w:t>
            </w:r>
            <w:proofErr w:type="spellEnd"/>
            <w:proofErr w:type="gramEnd"/>
            <w:r>
              <w:rPr>
                <w:rFonts w:eastAsia="IPNHMB+TimesNewRoman" w:cs="IPNHMB+TimesNewRoman"/>
                <w:sz w:val="16"/>
                <w:szCs w:val="16"/>
              </w:rPr>
              <w:t xml:space="preserve"> não </w:t>
            </w:r>
            <w:proofErr w:type="spellStart"/>
            <w:r>
              <w:rPr>
                <w:rFonts w:eastAsia="IPNHMB+TimesNewRoman" w:cs="IPNHMB+TimesNewRoman"/>
                <w:sz w:val="16"/>
                <w:szCs w:val="16"/>
              </w:rPr>
              <w:t>estudade</w:t>
            </w:r>
            <w:proofErr w:type="spellEnd"/>
            <w:r>
              <w:rPr>
                <w:rFonts w:eastAsia="IPNHMB+TimesNewRoman" w:cs="IPNHMB+TimesNewRoman"/>
                <w:sz w:val="16"/>
                <w:szCs w:val="16"/>
              </w:rPr>
              <w:t xml:space="preserv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328A1" w:rsidRDefault="003328A1" w:rsidP="00756C9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Para suportar a abordagem BPMNRNF também não há </w:t>
            </w:r>
            <w:proofErr w:type="spellStart"/>
            <w:r>
              <w:rPr>
                <w:rFonts w:eastAsia="IPNHMB+TimesNewRoman" w:cs="IPNHMB+TimesNewRoman"/>
                <w:sz w:val="16"/>
                <w:szCs w:val="16"/>
              </w:rPr>
              <w:t>nehuma</w:t>
            </w:r>
            <w:proofErr w:type="spellEnd"/>
            <w:r>
              <w:rPr>
                <w:rFonts w:eastAsia="IPNHMB+TimesNewRoman" w:cs="IPNHMB+TimesNewRoman"/>
                <w:sz w:val="16"/>
                <w:szCs w:val="16"/>
              </w:rPr>
              <w:t xml:space="preserve"> ferramenta específica. Os analistas</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que forem aplicar a abordagem terão que utilizar duas ferramentas uma para aplicar a BPMN e outra para aplicar o RNF -Framework. </w:t>
            </w:r>
          </w:p>
        </w:tc>
      </w:tr>
    </w:tbl>
    <w:p w:rsidR="003328A1" w:rsidRDefault="003328A1"/>
    <w:p w:rsidR="0086659B" w:rsidRDefault="0086659B" w:rsidP="0086659B">
      <w:pPr>
        <w:pStyle w:val="Textbody"/>
        <w:tabs>
          <w:tab w:val="left" w:pos="1120"/>
        </w:tabs>
        <w:spacing w:before="60" w:after="60"/>
        <w:jc w:val="center"/>
        <w:rPr>
          <w:rFonts w:ascii="Times New Roman" w:eastAsia="IPNHMB+TimesNewRoman" w:hAnsi="Times New Roman" w:cs="Times New Roman"/>
        </w:rPr>
      </w:pPr>
      <w:r>
        <w:rPr>
          <w:rFonts w:ascii="Times New Roman" w:eastAsia="IPNHMB+TimesNewRoman" w:hAnsi="Times New Roman" w:cs="Times New Roman"/>
        </w:rPr>
        <w:t>Quadro 4.1: Mapa de comentários sobre correlações tecnologias/propostas.</w:t>
      </w:r>
    </w:p>
    <w:p w:rsidR="0086659B" w:rsidRDefault="0086659B" w:rsidP="0086659B">
      <w:pPr>
        <w:pStyle w:val="Textbody"/>
        <w:tabs>
          <w:tab w:val="left" w:pos="1120"/>
        </w:tabs>
        <w:spacing w:before="60" w:after="60"/>
        <w:jc w:val="center"/>
        <w:rPr>
          <w:rFonts w:ascii="Times New Roman" w:eastAsia="IPNHMB+TimesNewRoman" w:hAnsi="Times New Roman" w:cs="Times New Roman"/>
        </w:rPr>
      </w:pPr>
    </w:p>
    <w:p w:rsidR="0086659B" w:rsidRDefault="0086659B" w:rsidP="0086659B">
      <w:pPr>
        <w:pStyle w:val="Textbody"/>
        <w:tabs>
          <w:tab w:val="left" w:pos="1120"/>
        </w:tabs>
        <w:spacing w:before="60" w:after="60"/>
        <w:jc w:val="center"/>
        <w:rPr>
          <w:rFonts w:ascii="Times New Roman" w:eastAsia="IPNHMB+TimesNewRoman" w:hAnsi="Times New Roman" w:cs="Times New Roman"/>
        </w:rPr>
      </w:pPr>
    </w:p>
    <w:tbl>
      <w:tblPr>
        <w:tblStyle w:val="Tabelacomgrade"/>
        <w:tblW w:w="0" w:type="auto"/>
        <w:tblInd w:w="392" w:type="dxa"/>
        <w:tblLook w:val="04A0"/>
      </w:tblPr>
      <w:tblGrid>
        <w:gridCol w:w="657"/>
        <w:gridCol w:w="675"/>
        <w:gridCol w:w="688"/>
        <w:gridCol w:w="726"/>
        <w:gridCol w:w="674"/>
        <w:gridCol w:w="674"/>
        <w:gridCol w:w="726"/>
        <w:gridCol w:w="757"/>
        <w:gridCol w:w="1153"/>
        <w:gridCol w:w="731"/>
        <w:gridCol w:w="867"/>
      </w:tblGrid>
      <w:tr w:rsidR="0086659B" w:rsidRPr="00D115CE" w:rsidTr="0086659B">
        <w:tc>
          <w:tcPr>
            <w:tcW w:w="292" w:type="dxa"/>
            <w:shd w:val="clear" w:color="auto" w:fill="D9D9D9" w:themeFill="background1" w:themeFillShade="D9"/>
          </w:tcPr>
          <w:p w:rsidR="0086659B" w:rsidRPr="00D115CE" w:rsidRDefault="0086659B" w:rsidP="00756C93">
            <w:pPr>
              <w:rPr>
                <w:sz w:val="16"/>
                <w:szCs w:val="16"/>
              </w:rPr>
            </w:pPr>
          </w:p>
        </w:tc>
        <w:tc>
          <w:tcPr>
            <w:tcW w:w="705" w:type="dxa"/>
            <w:shd w:val="clear" w:color="auto" w:fill="D9D9D9" w:themeFill="background1" w:themeFillShade="D9"/>
          </w:tcPr>
          <w:p w:rsidR="0086659B" w:rsidRPr="005A26AC" w:rsidRDefault="0086659B" w:rsidP="00756C93">
            <w:pPr>
              <w:rPr>
                <w:b/>
                <w:sz w:val="16"/>
                <w:szCs w:val="16"/>
              </w:rPr>
            </w:pPr>
            <w:proofErr w:type="spellStart"/>
            <w:r w:rsidRPr="005A26AC">
              <w:rPr>
                <w:b/>
                <w:sz w:val="16"/>
                <w:szCs w:val="16"/>
              </w:rPr>
              <w:t>RNF-Framework</w:t>
            </w:r>
            <w:proofErr w:type="spellEnd"/>
          </w:p>
        </w:tc>
        <w:tc>
          <w:tcPr>
            <w:tcW w:w="719" w:type="dxa"/>
            <w:shd w:val="clear" w:color="auto" w:fill="D9D9D9" w:themeFill="background1" w:themeFillShade="D9"/>
          </w:tcPr>
          <w:p w:rsidR="0086659B" w:rsidRPr="005A26AC" w:rsidRDefault="0086659B" w:rsidP="00756C93">
            <w:pPr>
              <w:rPr>
                <w:b/>
                <w:sz w:val="16"/>
                <w:szCs w:val="16"/>
              </w:rPr>
            </w:pPr>
            <w:r w:rsidRPr="005A26AC">
              <w:rPr>
                <w:b/>
                <w:sz w:val="16"/>
                <w:szCs w:val="16"/>
              </w:rPr>
              <w:t>LAL</w:t>
            </w:r>
          </w:p>
        </w:tc>
        <w:tc>
          <w:tcPr>
            <w:tcW w:w="760" w:type="dxa"/>
            <w:shd w:val="clear" w:color="auto" w:fill="D9D9D9" w:themeFill="background1" w:themeFillShade="D9"/>
          </w:tcPr>
          <w:p w:rsidR="0086659B" w:rsidRPr="005A26AC" w:rsidRDefault="0086659B" w:rsidP="00756C93">
            <w:pPr>
              <w:rPr>
                <w:b/>
                <w:sz w:val="16"/>
                <w:szCs w:val="16"/>
              </w:rPr>
            </w:pPr>
            <w:r w:rsidRPr="005A26AC">
              <w:rPr>
                <w:b/>
                <w:sz w:val="16"/>
                <w:szCs w:val="16"/>
              </w:rPr>
              <w:t>SQFD</w:t>
            </w:r>
          </w:p>
        </w:tc>
        <w:tc>
          <w:tcPr>
            <w:tcW w:w="705" w:type="dxa"/>
            <w:shd w:val="clear" w:color="auto" w:fill="D9D9D9" w:themeFill="background1" w:themeFillShade="D9"/>
          </w:tcPr>
          <w:p w:rsidR="0086659B" w:rsidRPr="005A26AC" w:rsidRDefault="0086659B" w:rsidP="00756C93">
            <w:pPr>
              <w:rPr>
                <w:b/>
                <w:sz w:val="16"/>
                <w:szCs w:val="16"/>
              </w:rPr>
            </w:pPr>
            <w:r w:rsidRPr="005A26AC">
              <w:rPr>
                <w:b/>
                <w:sz w:val="16"/>
                <w:szCs w:val="16"/>
              </w:rPr>
              <w:t>BPMN</w:t>
            </w:r>
          </w:p>
        </w:tc>
        <w:tc>
          <w:tcPr>
            <w:tcW w:w="705" w:type="dxa"/>
            <w:shd w:val="clear" w:color="auto" w:fill="D9D9D9" w:themeFill="background1" w:themeFillShade="D9"/>
          </w:tcPr>
          <w:p w:rsidR="0086659B" w:rsidRPr="005A26AC" w:rsidRDefault="0086659B" w:rsidP="00756C93">
            <w:pPr>
              <w:rPr>
                <w:b/>
                <w:sz w:val="16"/>
                <w:szCs w:val="16"/>
              </w:rPr>
            </w:pPr>
            <w:r w:rsidRPr="005A26AC">
              <w:rPr>
                <w:b/>
                <w:sz w:val="16"/>
                <w:szCs w:val="16"/>
              </w:rPr>
              <w:t>IBIS</w:t>
            </w:r>
          </w:p>
        </w:tc>
        <w:tc>
          <w:tcPr>
            <w:tcW w:w="760" w:type="dxa"/>
            <w:shd w:val="clear" w:color="auto" w:fill="D9D9D9" w:themeFill="background1" w:themeFillShade="D9"/>
          </w:tcPr>
          <w:p w:rsidR="0086659B" w:rsidRPr="005A26AC" w:rsidRDefault="0086659B" w:rsidP="00756C93">
            <w:pPr>
              <w:rPr>
                <w:b/>
                <w:sz w:val="16"/>
                <w:szCs w:val="16"/>
              </w:rPr>
            </w:pPr>
            <w:r w:rsidRPr="005A26AC">
              <w:rPr>
                <w:b/>
                <w:sz w:val="16"/>
                <w:szCs w:val="16"/>
              </w:rPr>
              <w:t>TECNICA DE TORANZO</w:t>
            </w:r>
          </w:p>
        </w:tc>
        <w:tc>
          <w:tcPr>
            <w:tcW w:w="793" w:type="dxa"/>
            <w:shd w:val="clear" w:color="auto" w:fill="D9D9D9" w:themeFill="background1" w:themeFillShade="D9"/>
          </w:tcPr>
          <w:p w:rsidR="0086659B" w:rsidRPr="005A26AC" w:rsidRDefault="0086659B" w:rsidP="00756C93">
            <w:pPr>
              <w:rPr>
                <w:b/>
                <w:sz w:val="16"/>
                <w:szCs w:val="16"/>
              </w:rPr>
            </w:pPr>
            <w:r w:rsidRPr="005A26AC">
              <w:rPr>
                <w:b/>
                <w:sz w:val="16"/>
                <w:szCs w:val="16"/>
              </w:rPr>
              <w:t>UML</w:t>
            </w:r>
          </w:p>
        </w:tc>
        <w:tc>
          <w:tcPr>
            <w:tcW w:w="1214" w:type="dxa"/>
            <w:shd w:val="clear" w:color="auto" w:fill="D9D9D9" w:themeFill="background1" w:themeFillShade="D9"/>
          </w:tcPr>
          <w:p w:rsidR="0086659B" w:rsidRPr="005A26AC" w:rsidRDefault="0086659B" w:rsidP="00756C93">
            <w:pPr>
              <w:rPr>
                <w:b/>
                <w:sz w:val="16"/>
                <w:szCs w:val="16"/>
              </w:rPr>
            </w:pPr>
            <w:r w:rsidRPr="005A26AC">
              <w:rPr>
                <w:b/>
                <w:sz w:val="16"/>
                <w:szCs w:val="16"/>
              </w:rPr>
              <w:t>OCL</w:t>
            </w:r>
          </w:p>
        </w:tc>
        <w:tc>
          <w:tcPr>
            <w:tcW w:w="765" w:type="dxa"/>
            <w:shd w:val="clear" w:color="auto" w:fill="D9D9D9" w:themeFill="background1" w:themeFillShade="D9"/>
          </w:tcPr>
          <w:p w:rsidR="0086659B" w:rsidRPr="005A26AC" w:rsidRDefault="0086659B" w:rsidP="00756C93">
            <w:pPr>
              <w:rPr>
                <w:b/>
                <w:sz w:val="16"/>
                <w:szCs w:val="16"/>
              </w:rPr>
            </w:pPr>
            <w:r w:rsidRPr="005A26AC">
              <w:rPr>
                <w:b/>
                <w:sz w:val="16"/>
                <w:szCs w:val="16"/>
              </w:rPr>
              <w:t>RUP</w:t>
            </w:r>
          </w:p>
        </w:tc>
        <w:tc>
          <w:tcPr>
            <w:tcW w:w="910" w:type="dxa"/>
            <w:shd w:val="clear" w:color="auto" w:fill="D9D9D9" w:themeFill="background1" w:themeFillShade="D9"/>
          </w:tcPr>
          <w:p w:rsidR="0086659B" w:rsidRPr="005A26AC" w:rsidRDefault="0086659B" w:rsidP="00756C93">
            <w:pPr>
              <w:rPr>
                <w:b/>
                <w:sz w:val="16"/>
                <w:szCs w:val="16"/>
              </w:rPr>
            </w:pPr>
            <w:r w:rsidRPr="005A26AC">
              <w:rPr>
                <w:b/>
                <w:sz w:val="16"/>
                <w:szCs w:val="16"/>
              </w:rPr>
              <w:t>MS VISUAL BASIC</w:t>
            </w: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proofErr w:type="spellStart"/>
            <w:r w:rsidRPr="005A26AC">
              <w:rPr>
                <w:b/>
                <w:sz w:val="16"/>
                <w:szCs w:val="16"/>
              </w:rPr>
              <w:t>RNF-Framework</w:t>
            </w:r>
            <w:proofErr w:type="spellEnd"/>
          </w:p>
        </w:tc>
        <w:tc>
          <w:tcPr>
            <w:tcW w:w="705" w:type="dxa"/>
          </w:tcPr>
          <w:p w:rsidR="0086659B" w:rsidRPr="00D115CE" w:rsidRDefault="0086659B" w:rsidP="00756C93">
            <w:pPr>
              <w:rPr>
                <w:sz w:val="16"/>
                <w:szCs w:val="16"/>
              </w:rPr>
            </w:pPr>
            <w:r w:rsidRPr="00D115CE">
              <w:rPr>
                <w:sz w:val="16"/>
                <w:szCs w:val="16"/>
              </w:rPr>
              <w:t>(</w:t>
            </w:r>
            <w:r>
              <w:rPr>
                <w:sz w:val="16"/>
                <w:szCs w:val="16"/>
              </w:rPr>
              <w:t>igual</w:t>
            </w:r>
            <w:r w:rsidRPr="00D115CE">
              <w:rPr>
                <w:sz w:val="16"/>
                <w:szCs w:val="16"/>
              </w:rPr>
              <w:t>)</w:t>
            </w:r>
          </w:p>
        </w:tc>
        <w:tc>
          <w:tcPr>
            <w:tcW w:w="719" w:type="dxa"/>
          </w:tcPr>
          <w:p w:rsidR="0086659B" w:rsidRDefault="0086659B" w:rsidP="00756C93">
            <w:pPr>
              <w:rPr>
                <w:sz w:val="16"/>
                <w:szCs w:val="16"/>
              </w:rPr>
            </w:pPr>
            <w:proofErr w:type="spellStart"/>
            <w:proofErr w:type="gramStart"/>
            <w:r>
              <w:rPr>
                <w:sz w:val="16"/>
                <w:szCs w:val="16"/>
              </w:rPr>
              <w:t>compativel</w:t>
            </w:r>
            <w:proofErr w:type="spellEnd"/>
            <w:proofErr w:type="gramEnd"/>
            <w:r w:rsidRPr="00D115CE">
              <w:rPr>
                <w:sz w:val="16"/>
                <w:szCs w:val="16"/>
              </w:rPr>
              <w:t xml:space="preserve"> </w:t>
            </w:r>
          </w:p>
          <w:p w:rsidR="0086659B" w:rsidRDefault="0086659B" w:rsidP="00756C93">
            <w:pPr>
              <w:rPr>
                <w:sz w:val="16"/>
                <w:szCs w:val="16"/>
              </w:rPr>
            </w:pPr>
            <w:proofErr w:type="gramStart"/>
            <w:r>
              <w:rPr>
                <w:sz w:val="16"/>
                <w:szCs w:val="16"/>
              </w:rPr>
              <w:t>com</w:t>
            </w:r>
            <w:proofErr w:type="gramEnd"/>
            <w:r>
              <w:rPr>
                <w:sz w:val="16"/>
                <w:szCs w:val="16"/>
              </w:rPr>
              <w:t xml:space="preserve"> proposta de integração apresentada em</w:t>
            </w:r>
          </w:p>
          <w:p w:rsidR="0086659B" w:rsidRPr="00D115CE" w:rsidRDefault="0086659B" w:rsidP="00756C93">
            <w:pPr>
              <w:rPr>
                <w:sz w:val="16"/>
                <w:szCs w:val="16"/>
              </w:rPr>
            </w:pPr>
            <w:r w:rsidRPr="00D115CE">
              <w:rPr>
                <w:sz w:val="16"/>
                <w:szCs w:val="16"/>
              </w:rPr>
              <w:t>(CYSNEIROS, 2001)</w:t>
            </w:r>
          </w:p>
        </w:tc>
        <w:tc>
          <w:tcPr>
            <w:tcW w:w="760" w:type="dxa"/>
          </w:tcPr>
          <w:p w:rsidR="0086659B" w:rsidRDefault="0086659B" w:rsidP="00756C93">
            <w:pPr>
              <w:rPr>
                <w:sz w:val="16"/>
                <w:szCs w:val="16"/>
              </w:rPr>
            </w:pPr>
            <w:r>
              <w:rPr>
                <w:sz w:val="16"/>
                <w:szCs w:val="16"/>
              </w:rPr>
              <w:t>Compatível mas sem proposta de integração encontrada.</w:t>
            </w:r>
          </w:p>
          <w:p w:rsidR="0086659B" w:rsidRPr="00D115CE" w:rsidRDefault="0086659B" w:rsidP="00756C93">
            <w:pPr>
              <w:rPr>
                <w:sz w:val="16"/>
                <w:szCs w:val="16"/>
              </w:rPr>
            </w:pPr>
          </w:p>
        </w:tc>
        <w:tc>
          <w:tcPr>
            <w:tcW w:w="705" w:type="dxa"/>
          </w:tcPr>
          <w:p w:rsidR="0086659B" w:rsidRPr="00D115CE" w:rsidRDefault="0086659B" w:rsidP="00756C93">
            <w:pPr>
              <w:rPr>
                <w:sz w:val="16"/>
                <w:szCs w:val="16"/>
              </w:rPr>
            </w:pPr>
            <w:r>
              <w:rPr>
                <w:sz w:val="16"/>
                <w:szCs w:val="16"/>
              </w:rPr>
              <w:t>Compatível com proposta de integração BPMNRNF de (XAVIER, 2009)</w:t>
            </w:r>
          </w:p>
        </w:tc>
        <w:tc>
          <w:tcPr>
            <w:tcW w:w="705" w:type="dxa"/>
          </w:tcPr>
          <w:p w:rsidR="0086659B" w:rsidRPr="00D115CE" w:rsidRDefault="0086659B" w:rsidP="00756C93">
            <w:pPr>
              <w:rPr>
                <w:sz w:val="16"/>
                <w:szCs w:val="16"/>
              </w:rPr>
            </w:pPr>
            <w:r>
              <w:rPr>
                <w:sz w:val="16"/>
                <w:szCs w:val="16"/>
              </w:rPr>
              <w:t>Compatível. Porem não encontrada estratégia de integração.</w:t>
            </w:r>
          </w:p>
        </w:tc>
        <w:tc>
          <w:tcPr>
            <w:tcW w:w="760" w:type="dxa"/>
          </w:tcPr>
          <w:p w:rsidR="0086659B" w:rsidRPr="00D115CE" w:rsidRDefault="0086659B" w:rsidP="00756C93">
            <w:pPr>
              <w:rPr>
                <w:sz w:val="16"/>
                <w:szCs w:val="16"/>
              </w:rPr>
            </w:pPr>
            <w:r>
              <w:rPr>
                <w:sz w:val="16"/>
                <w:szCs w:val="16"/>
              </w:rPr>
              <w:t>Compatível como demonstrado em (DIDIER, 2003)</w:t>
            </w:r>
          </w:p>
        </w:tc>
        <w:tc>
          <w:tcPr>
            <w:tcW w:w="793" w:type="dxa"/>
          </w:tcPr>
          <w:p w:rsidR="0086659B" w:rsidRPr="00D115CE" w:rsidRDefault="0086659B" w:rsidP="00756C93">
            <w:pPr>
              <w:rPr>
                <w:sz w:val="16"/>
                <w:szCs w:val="16"/>
              </w:rPr>
            </w:pPr>
            <w:r>
              <w:rPr>
                <w:sz w:val="16"/>
                <w:szCs w:val="16"/>
              </w:rPr>
              <w:t>Compatível como demonstrado em (CYSNEIROS, 2001)</w:t>
            </w:r>
          </w:p>
        </w:tc>
        <w:tc>
          <w:tcPr>
            <w:tcW w:w="1214" w:type="dxa"/>
          </w:tcPr>
          <w:p w:rsidR="0086659B" w:rsidRPr="00D115CE" w:rsidRDefault="0086659B" w:rsidP="00756C93">
            <w:pPr>
              <w:rPr>
                <w:sz w:val="16"/>
                <w:szCs w:val="16"/>
              </w:rPr>
            </w:pPr>
            <w:r>
              <w:rPr>
                <w:sz w:val="16"/>
                <w:szCs w:val="16"/>
              </w:rPr>
              <w:t>Compatível como demonstrado em (CYSNEIROS, 2001)</w:t>
            </w:r>
          </w:p>
        </w:tc>
        <w:tc>
          <w:tcPr>
            <w:tcW w:w="765" w:type="dxa"/>
          </w:tcPr>
          <w:p w:rsidR="0086659B" w:rsidRDefault="0086659B" w:rsidP="00756C93">
            <w:pPr>
              <w:rPr>
                <w:sz w:val="16"/>
                <w:szCs w:val="16"/>
              </w:rPr>
            </w:pPr>
            <w:r>
              <w:rPr>
                <w:sz w:val="16"/>
                <w:szCs w:val="16"/>
              </w:rPr>
              <w:t>Compatível como evidenciado em (CYSNEIROS, 2001)</w:t>
            </w:r>
          </w:p>
          <w:p w:rsidR="0086659B" w:rsidRPr="00D115CE" w:rsidRDefault="0086659B" w:rsidP="00756C93">
            <w:pPr>
              <w:rPr>
                <w:sz w:val="16"/>
                <w:szCs w:val="16"/>
              </w:rPr>
            </w:pPr>
            <w:r>
              <w:rPr>
                <w:sz w:val="16"/>
                <w:szCs w:val="16"/>
              </w:rPr>
              <w:t>E em (DIDIER, 2004)</w:t>
            </w:r>
          </w:p>
        </w:tc>
        <w:tc>
          <w:tcPr>
            <w:tcW w:w="910" w:type="dxa"/>
          </w:tcPr>
          <w:p w:rsidR="0086659B" w:rsidRDefault="0086659B" w:rsidP="00756C93">
            <w:pPr>
              <w:rPr>
                <w:sz w:val="16"/>
                <w:szCs w:val="16"/>
              </w:rPr>
            </w:pPr>
            <w:r>
              <w:rPr>
                <w:sz w:val="16"/>
                <w:szCs w:val="16"/>
              </w:rPr>
              <w:t xml:space="preserve">Não foi encontrado </w:t>
            </w:r>
            <w:proofErr w:type="gramStart"/>
            <w:r>
              <w:rPr>
                <w:sz w:val="16"/>
                <w:szCs w:val="16"/>
              </w:rPr>
              <w:t>nenhuma software</w:t>
            </w:r>
            <w:proofErr w:type="gramEnd"/>
            <w:r>
              <w:rPr>
                <w:sz w:val="16"/>
                <w:szCs w:val="16"/>
              </w:rPr>
              <w:t xml:space="preserve"> desenvolvido nesta plataforma que realizasse algum trabalho com </w:t>
            </w:r>
            <w:proofErr w:type="spellStart"/>
            <w:r>
              <w:rPr>
                <w:sz w:val="16"/>
                <w:szCs w:val="16"/>
              </w:rPr>
              <w:t>RNF-Framework</w:t>
            </w:r>
            <w:proofErr w:type="spellEnd"/>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LAL</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(igual)</w:t>
            </w:r>
          </w:p>
        </w:tc>
        <w:tc>
          <w:tcPr>
            <w:tcW w:w="760" w:type="dxa"/>
          </w:tcPr>
          <w:p w:rsidR="0086659B" w:rsidRPr="00D115CE" w:rsidRDefault="0086659B" w:rsidP="00756C93">
            <w:pPr>
              <w:rPr>
                <w:sz w:val="16"/>
                <w:szCs w:val="16"/>
              </w:rPr>
            </w:pPr>
            <w:r>
              <w:rPr>
                <w:sz w:val="16"/>
                <w:szCs w:val="16"/>
              </w:rPr>
              <w:t>Compatível. Não encontrado nenhum impedimento em utilizar o LAL em conjunto com o SQFD. Mas não há nenhuma proposta de uso em conjunto encontrada para o LAL e SQFD</w:t>
            </w:r>
          </w:p>
        </w:tc>
        <w:tc>
          <w:tcPr>
            <w:tcW w:w="705" w:type="dxa"/>
          </w:tcPr>
          <w:p w:rsidR="0086659B" w:rsidRPr="00D115CE" w:rsidRDefault="0086659B" w:rsidP="00756C93">
            <w:pPr>
              <w:rPr>
                <w:sz w:val="16"/>
                <w:szCs w:val="16"/>
              </w:rPr>
            </w:pPr>
            <w:r>
              <w:rPr>
                <w:sz w:val="16"/>
                <w:szCs w:val="16"/>
              </w:rPr>
              <w:t xml:space="preserve">Compatível. Verificado nesta pesquisa que </w:t>
            </w:r>
            <w:proofErr w:type="gramStart"/>
            <w:r>
              <w:rPr>
                <w:sz w:val="16"/>
                <w:szCs w:val="16"/>
              </w:rPr>
              <w:t>pode-se</w:t>
            </w:r>
            <w:proofErr w:type="gramEnd"/>
            <w:r>
              <w:rPr>
                <w:sz w:val="16"/>
                <w:szCs w:val="16"/>
              </w:rPr>
              <w:t xml:space="preserve"> utilizar o LAL  como ancora para a definição dos nomes dos elemento do modelo de negocio.</w:t>
            </w:r>
          </w:p>
        </w:tc>
        <w:tc>
          <w:tcPr>
            <w:tcW w:w="705" w:type="dxa"/>
          </w:tcPr>
          <w:p w:rsidR="0086659B" w:rsidRPr="00D115CE" w:rsidRDefault="0086659B" w:rsidP="00756C93">
            <w:pPr>
              <w:rPr>
                <w:sz w:val="16"/>
                <w:szCs w:val="16"/>
              </w:rPr>
            </w:pPr>
            <w:r>
              <w:rPr>
                <w:sz w:val="16"/>
                <w:szCs w:val="16"/>
              </w:rPr>
              <w:t xml:space="preserve">Compatível. Porém não foi </w:t>
            </w:r>
            <w:proofErr w:type="gramStart"/>
            <w:r>
              <w:rPr>
                <w:sz w:val="16"/>
                <w:szCs w:val="16"/>
              </w:rPr>
              <w:t>encontrado ,</w:t>
            </w:r>
            <w:proofErr w:type="gramEnd"/>
            <w:r>
              <w:rPr>
                <w:sz w:val="16"/>
                <w:szCs w:val="16"/>
              </w:rPr>
              <w:t xml:space="preserve"> durante a pesquisa, proposta propondo uso do LAL em conjunto como o IBIS.</w:t>
            </w:r>
          </w:p>
        </w:tc>
        <w:tc>
          <w:tcPr>
            <w:tcW w:w="760" w:type="dxa"/>
          </w:tcPr>
          <w:p w:rsidR="0086659B" w:rsidRPr="00D115CE" w:rsidRDefault="0086659B" w:rsidP="00756C93">
            <w:pPr>
              <w:rPr>
                <w:sz w:val="16"/>
                <w:szCs w:val="16"/>
              </w:rPr>
            </w:pPr>
            <w:r>
              <w:rPr>
                <w:sz w:val="16"/>
                <w:szCs w:val="16"/>
              </w:rPr>
              <w:t>Compatível, como evidenciado por (DIDIER, 2003)</w:t>
            </w:r>
          </w:p>
        </w:tc>
        <w:tc>
          <w:tcPr>
            <w:tcW w:w="793" w:type="dxa"/>
          </w:tcPr>
          <w:p w:rsidR="0086659B" w:rsidRPr="00D115CE" w:rsidRDefault="0086659B" w:rsidP="00756C93">
            <w:pPr>
              <w:rPr>
                <w:sz w:val="16"/>
                <w:szCs w:val="16"/>
              </w:rPr>
            </w:pPr>
            <w:r>
              <w:rPr>
                <w:sz w:val="16"/>
                <w:szCs w:val="16"/>
              </w:rPr>
              <w:t>Compatível como demonstrado em (CYSNEIROS, 2001)</w:t>
            </w:r>
          </w:p>
        </w:tc>
        <w:tc>
          <w:tcPr>
            <w:tcW w:w="1214" w:type="dxa"/>
          </w:tcPr>
          <w:p w:rsidR="0086659B" w:rsidRPr="00D115CE" w:rsidRDefault="0086659B" w:rsidP="00756C93">
            <w:pPr>
              <w:rPr>
                <w:sz w:val="16"/>
                <w:szCs w:val="16"/>
              </w:rPr>
            </w:pPr>
            <w:r>
              <w:rPr>
                <w:sz w:val="16"/>
                <w:szCs w:val="16"/>
              </w:rPr>
              <w:t>Compatível como demonstrado em (CYSNEIROS, 2001)</w:t>
            </w:r>
          </w:p>
        </w:tc>
        <w:tc>
          <w:tcPr>
            <w:tcW w:w="765" w:type="dxa"/>
          </w:tcPr>
          <w:p w:rsidR="0086659B" w:rsidRPr="00D115CE" w:rsidRDefault="0086659B" w:rsidP="00756C93">
            <w:pPr>
              <w:rPr>
                <w:sz w:val="16"/>
                <w:szCs w:val="16"/>
              </w:rPr>
            </w:pPr>
            <w:r>
              <w:rPr>
                <w:sz w:val="16"/>
                <w:szCs w:val="16"/>
              </w:rPr>
              <w:t>Compatível como demonstrado em (CYSNEIROS, 2001) e (DIDIER, 2003)</w:t>
            </w:r>
          </w:p>
        </w:tc>
        <w:tc>
          <w:tcPr>
            <w:tcW w:w="910" w:type="dxa"/>
          </w:tcPr>
          <w:p w:rsidR="0086659B" w:rsidRDefault="0086659B" w:rsidP="00756C93">
            <w:pPr>
              <w:rPr>
                <w:sz w:val="16"/>
                <w:szCs w:val="16"/>
              </w:rPr>
            </w:pPr>
            <w:r>
              <w:rPr>
                <w:sz w:val="16"/>
                <w:szCs w:val="16"/>
              </w:rPr>
              <w:t xml:space="preserve">Os trabalhos encontrados sobre LAL geralmente fazem referencia linguagem de programação PHP. Isso provoca um </w:t>
            </w:r>
            <w:proofErr w:type="spellStart"/>
            <w:r>
              <w:rPr>
                <w:sz w:val="16"/>
                <w:szCs w:val="16"/>
              </w:rPr>
              <w:t>conflitocom</w:t>
            </w:r>
            <w:proofErr w:type="spellEnd"/>
            <w:r>
              <w:rPr>
                <w:sz w:val="16"/>
                <w:szCs w:val="16"/>
              </w:rPr>
              <w:t xml:space="preserve"> o trabalho de (RAMIRES, 2004) utilizou o VB pra</w:t>
            </w:r>
            <w:proofErr w:type="gramStart"/>
            <w:r>
              <w:rPr>
                <w:sz w:val="16"/>
                <w:szCs w:val="16"/>
              </w:rPr>
              <w:t xml:space="preserve">  </w:t>
            </w:r>
            <w:proofErr w:type="gramEnd"/>
            <w:r>
              <w:rPr>
                <w:sz w:val="16"/>
                <w:szCs w:val="16"/>
              </w:rPr>
              <w:t xml:space="preserve">o desenvolvimento do MEG </w:t>
            </w: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SQFD</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(IGUAL)</w:t>
            </w:r>
          </w:p>
        </w:tc>
        <w:tc>
          <w:tcPr>
            <w:tcW w:w="705" w:type="dxa"/>
          </w:tcPr>
          <w:p w:rsidR="0086659B" w:rsidRPr="00D115CE" w:rsidRDefault="0086659B" w:rsidP="00756C93">
            <w:pPr>
              <w:rPr>
                <w:sz w:val="16"/>
                <w:szCs w:val="16"/>
              </w:rPr>
            </w:pPr>
            <w:r>
              <w:rPr>
                <w:sz w:val="16"/>
                <w:szCs w:val="16"/>
              </w:rPr>
              <w:t>Compatível. Porem não foi encontrada nenhuma proposta</w:t>
            </w:r>
            <w:proofErr w:type="gramStart"/>
            <w:r>
              <w:rPr>
                <w:sz w:val="16"/>
                <w:szCs w:val="16"/>
              </w:rPr>
              <w:t xml:space="preserve">  </w:t>
            </w:r>
            <w:proofErr w:type="gramEnd"/>
            <w:r>
              <w:rPr>
                <w:sz w:val="16"/>
                <w:szCs w:val="16"/>
              </w:rPr>
              <w:t xml:space="preserve">de integração. </w:t>
            </w:r>
          </w:p>
        </w:tc>
        <w:tc>
          <w:tcPr>
            <w:tcW w:w="705" w:type="dxa"/>
          </w:tcPr>
          <w:p w:rsidR="0086659B" w:rsidRPr="00D115CE" w:rsidRDefault="0086659B" w:rsidP="00756C93">
            <w:pPr>
              <w:rPr>
                <w:sz w:val="16"/>
                <w:szCs w:val="16"/>
              </w:rPr>
            </w:pPr>
            <w:r>
              <w:rPr>
                <w:sz w:val="16"/>
                <w:szCs w:val="16"/>
              </w:rPr>
              <w:t>Compatível. Como foi evidenciado em (RAMIRES, 2004)</w:t>
            </w:r>
          </w:p>
        </w:tc>
        <w:tc>
          <w:tcPr>
            <w:tcW w:w="760" w:type="dxa"/>
          </w:tcPr>
          <w:p w:rsidR="0086659B" w:rsidRPr="00D115CE" w:rsidRDefault="0086659B" w:rsidP="00756C93">
            <w:pPr>
              <w:rPr>
                <w:sz w:val="16"/>
                <w:szCs w:val="16"/>
              </w:rPr>
            </w:pPr>
            <w:r>
              <w:rPr>
                <w:sz w:val="16"/>
                <w:szCs w:val="16"/>
              </w:rPr>
              <w:t xml:space="preserve">Compatível. Não foi </w:t>
            </w:r>
            <w:proofErr w:type="gramStart"/>
            <w:r>
              <w:rPr>
                <w:sz w:val="16"/>
                <w:szCs w:val="16"/>
              </w:rPr>
              <w:t>encontrada nenhuma impedimento</w:t>
            </w:r>
            <w:proofErr w:type="gramEnd"/>
            <w:r>
              <w:rPr>
                <w:sz w:val="16"/>
                <w:szCs w:val="16"/>
              </w:rPr>
              <w:t xml:space="preserve"> ao uso em conjunto. Porem não encontrada proposta de uso em conjunto. </w:t>
            </w:r>
          </w:p>
        </w:tc>
        <w:tc>
          <w:tcPr>
            <w:tcW w:w="793" w:type="dxa"/>
          </w:tcPr>
          <w:p w:rsidR="0086659B" w:rsidRPr="00D115CE" w:rsidRDefault="0086659B" w:rsidP="00756C93">
            <w:pPr>
              <w:rPr>
                <w:sz w:val="16"/>
                <w:szCs w:val="16"/>
              </w:rPr>
            </w:pPr>
            <w:r>
              <w:rPr>
                <w:sz w:val="16"/>
                <w:szCs w:val="16"/>
              </w:rPr>
              <w:t>Compatível. Porem não encontrada durante a pesquisa estratégia de uso SQFD em conjunto com</w:t>
            </w:r>
            <w:proofErr w:type="gramStart"/>
            <w:r>
              <w:rPr>
                <w:sz w:val="16"/>
                <w:szCs w:val="16"/>
              </w:rPr>
              <w:t xml:space="preserve">  </w:t>
            </w:r>
            <w:proofErr w:type="gramEnd"/>
            <w:r>
              <w:rPr>
                <w:sz w:val="16"/>
                <w:szCs w:val="16"/>
              </w:rPr>
              <w:t>UML</w:t>
            </w:r>
          </w:p>
        </w:tc>
        <w:tc>
          <w:tcPr>
            <w:tcW w:w="1214" w:type="dxa"/>
          </w:tcPr>
          <w:p w:rsidR="0086659B" w:rsidRPr="00D115CE" w:rsidRDefault="0086659B" w:rsidP="00756C93">
            <w:pPr>
              <w:rPr>
                <w:sz w:val="16"/>
                <w:szCs w:val="16"/>
              </w:rPr>
            </w:pPr>
            <w:r>
              <w:rPr>
                <w:sz w:val="16"/>
                <w:szCs w:val="16"/>
              </w:rPr>
              <w:t xml:space="preserve">Compatível. Verificada características no OCL que possibilitam a representação dos conflitos das matrizes SQFD. Não foram encontrados trabalhos (escritos em </w:t>
            </w:r>
            <w:proofErr w:type="spellStart"/>
            <w:r>
              <w:rPr>
                <w:sz w:val="16"/>
                <w:szCs w:val="16"/>
              </w:rPr>
              <w:t>portugues</w:t>
            </w:r>
            <w:proofErr w:type="spellEnd"/>
            <w:r>
              <w:rPr>
                <w:sz w:val="16"/>
                <w:szCs w:val="16"/>
              </w:rPr>
              <w:t>) que falassem de integração entre SQFD e OCL.</w:t>
            </w:r>
          </w:p>
        </w:tc>
        <w:tc>
          <w:tcPr>
            <w:tcW w:w="765" w:type="dxa"/>
          </w:tcPr>
          <w:p w:rsidR="0086659B" w:rsidRPr="00D115CE" w:rsidRDefault="0086659B" w:rsidP="00756C93">
            <w:pPr>
              <w:rPr>
                <w:sz w:val="16"/>
                <w:szCs w:val="16"/>
              </w:rPr>
            </w:pPr>
            <w:r>
              <w:rPr>
                <w:sz w:val="16"/>
                <w:szCs w:val="16"/>
              </w:rPr>
              <w:t>Compatível. Verificado atreves de (RAMIRES, 2004)</w:t>
            </w:r>
            <w:proofErr w:type="gramStart"/>
            <w:r>
              <w:rPr>
                <w:sz w:val="16"/>
                <w:szCs w:val="16"/>
              </w:rPr>
              <w:t xml:space="preserve">  </w:t>
            </w:r>
            <w:proofErr w:type="gramEnd"/>
            <w:r>
              <w:rPr>
                <w:sz w:val="16"/>
                <w:szCs w:val="16"/>
              </w:rPr>
              <w:t>que as duas metodologias são adaptáveis e podem ser utilizadas em conjunto.</w:t>
            </w:r>
          </w:p>
        </w:tc>
        <w:tc>
          <w:tcPr>
            <w:tcW w:w="910" w:type="dxa"/>
          </w:tcPr>
          <w:p w:rsidR="0086659B" w:rsidRDefault="0086659B" w:rsidP="00756C93">
            <w:pPr>
              <w:rPr>
                <w:sz w:val="16"/>
                <w:szCs w:val="16"/>
              </w:rPr>
            </w:pPr>
            <w:r>
              <w:rPr>
                <w:sz w:val="16"/>
                <w:szCs w:val="16"/>
              </w:rPr>
              <w:t>Não foi encontrado proposta em língua portuguesa</w:t>
            </w:r>
            <w:proofErr w:type="gramStart"/>
            <w:r>
              <w:rPr>
                <w:sz w:val="16"/>
                <w:szCs w:val="16"/>
              </w:rPr>
              <w:t xml:space="preserve">  </w:t>
            </w:r>
            <w:proofErr w:type="gramEnd"/>
            <w:r>
              <w:rPr>
                <w:sz w:val="16"/>
                <w:szCs w:val="16"/>
              </w:rPr>
              <w:t>trabalho citando o SQFD e a linguagem de programação VB. Foram encontrada ferramentas pra construção do QFD porem não se encontrou informações sobre as linguagens de programação que foram utilizadas pra a sua implementação.</w:t>
            </w: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BPMN</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(igual)</w:t>
            </w:r>
          </w:p>
        </w:tc>
        <w:tc>
          <w:tcPr>
            <w:tcW w:w="705" w:type="dxa"/>
          </w:tcPr>
          <w:p w:rsidR="0086659B" w:rsidRPr="00D115CE" w:rsidRDefault="0086659B" w:rsidP="00756C93">
            <w:pPr>
              <w:rPr>
                <w:sz w:val="16"/>
                <w:szCs w:val="16"/>
              </w:rPr>
            </w:pPr>
            <w:r>
              <w:rPr>
                <w:sz w:val="16"/>
                <w:szCs w:val="16"/>
              </w:rPr>
              <w:t>Compatível. Não verificado nenhuma restrição ao uso em conjunto do BPMN e IBIS.</w:t>
            </w:r>
          </w:p>
        </w:tc>
        <w:tc>
          <w:tcPr>
            <w:tcW w:w="760" w:type="dxa"/>
          </w:tcPr>
          <w:p w:rsidR="0086659B" w:rsidRDefault="0086659B" w:rsidP="00756C93">
            <w:pPr>
              <w:rPr>
                <w:sz w:val="16"/>
                <w:szCs w:val="16"/>
              </w:rPr>
            </w:pPr>
            <w:r>
              <w:rPr>
                <w:sz w:val="16"/>
                <w:szCs w:val="16"/>
              </w:rPr>
              <w:t xml:space="preserve">Compatível. Não encontrada nenhuma restrição ao uso em conjunto de BPMN com a TECNICA DE TORANZO. </w:t>
            </w:r>
          </w:p>
          <w:p w:rsidR="0086659B" w:rsidRPr="00D115CE" w:rsidRDefault="0086659B" w:rsidP="00756C93">
            <w:pPr>
              <w:rPr>
                <w:sz w:val="16"/>
                <w:szCs w:val="16"/>
              </w:rPr>
            </w:pPr>
            <w:r>
              <w:rPr>
                <w:sz w:val="16"/>
                <w:szCs w:val="16"/>
              </w:rPr>
              <w:t>Porém não encontrada nenhuma proposta de integração entre as propostas.</w:t>
            </w:r>
          </w:p>
        </w:tc>
        <w:tc>
          <w:tcPr>
            <w:tcW w:w="793" w:type="dxa"/>
          </w:tcPr>
          <w:p w:rsidR="0086659B" w:rsidRPr="00D115CE" w:rsidRDefault="0086659B" w:rsidP="00756C93">
            <w:pPr>
              <w:rPr>
                <w:sz w:val="16"/>
                <w:szCs w:val="16"/>
              </w:rPr>
            </w:pPr>
            <w:r>
              <w:rPr>
                <w:sz w:val="16"/>
                <w:szCs w:val="16"/>
              </w:rPr>
              <w:t xml:space="preserve">Compatíveis. Embora tenham a mesma finalidade e serem notações diferentes para o mesmo fim, tem </w:t>
            </w:r>
            <w:proofErr w:type="spellStart"/>
            <w:r>
              <w:rPr>
                <w:sz w:val="16"/>
                <w:szCs w:val="16"/>
              </w:rPr>
              <w:t>carecteristicas</w:t>
            </w:r>
            <w:proofErr w:type="spellEnd"/>
            <w:r>
              <w:rPr>
                <w:sz w:val="16"/>
                <w:szCs w:val="16"/>
              </w:rPr>
              <w:t xml:space="preserve"> em comum e podem ser integradas. Porem não foi encontra proposta de integração entre as duas tecnologias. </w:t>
            </w:r>
          </w:p>
        </w:tc>
        <w:tc>
          <w:tcPr>
            <w:tcW w:w="1214" w:type="dxa"/>
          </w:tcPr>
          <w:p w:rsidR="0086659B" w:rsidRPr="00D115CE" w:rsidRDefault="0086659B" w:rsidP="00756C93">
            <w:pPr>
              <w:rPr>
                <w:sz w:val="16"/>
                <w:szCs w:val="16"/>
              </w:rPr>
            </w:pPr>
            <w:r>
              <w:rPr>
                <w:sz w:val="16"/>
                <w:szCs w:val="16"/>
              </w:rPr>
              <w:t>Compatível. Recentes pesquisas foram encontradas</w:t>
            </w:r>
            <w:proofErr w:type="gramStart"/>
            <w:r>
              <w:rPr>
                <w:sz w:val="16"/>
                <w:szCs w:val="16"/>
              </w:rPr>
              <w:t xml:space="preserve"> mas</w:t>
            </w:r>
            <w:proofErr w:type="gramEnd"/>
            <w:r>
              <w:rPr>
                <w:sz w:val="16"/>
                <w:szCs w:val="16"/>
              </w:rPr>
              <w:t xml:space="preserve"> não foram analisadas nesta pesquisa(PORCIUNCULA, 2010).</w:t>
            </w:r>
          </w:p>
        </w:tc>
        <w:tc>
          <w:tcPr>
            <w:tcW w:w="765" w:type="dxa"/>
          </w:tcPr>
          <w:p w:rsidR="0086659B" w:rsidRPr="00D115CE" w:rsidRDefault="0086659B" w:rsidP="00756C93">
            <w:pPr>
              <w:rPr>
                <w:sz w:val="16"/>
                <w:szCs w:val="16"/>
              </w:rPr>
            </w:pPr>
            <w:r>
              <w:rPr>
                <w:sz w:val="16"/>
                <w:szCs w:val="16"/>
              </w:rPr>
              <w:t>Compatível. Porem não encontrada proposta propondo o uso em conjunto.</w:t>
            </w:r>
          </w:p>
        </w:tc>
        <w:tc>
          <w:tcPr>
            <w:tcW w:w="910" w:type="dxa"/>
          </w:tcPr>
          <w:p w:rsidR="0086659B" w:rsidRDefault="0086659B" w:rsidP="00756C93">
            <w:pPr>
              <w:rPr>
                <w:sz w:val="16"/>
                <w:szCs w:val="16"/>
              </w:rPr>
            </w:pPr>
            <w:r>
              <w:rPr>
                <w:sz w:val="16"/>
                <w:szCs w:val="16"/>
              </w:rPr>
              <w:t xml:space="preserve">Nas buscas feitas durante esta pesquisa foram encontradas algumas ferramentas para o desenho de processos. Porem não foi </w:t>
            </w:r>
            <w:proofErr w:type="gramStart"/>
            <w:r>
              <w:rPr>
                <w:sz w:val="16"/>
                <w:szCs w:val="16"/>
              </w:rPr>
              <w:t>encontrada</w:t>
            </w:r>
            <w:proofErr w:type="gramEnd"/>
            <w:r>
              <w:rPr>
                <w:sz w:val="16"/>
                <w:szCs w:val="16"/>
              </w:rPr>
              <w:t xml:space="preserve"> nenhum ferramenta escrita em Visual </w:t>
            </w:r>
            <w:proofErr w:type="spellStart"/>
            <w:r>
              <w:rPr>
                <w:sz w:val="16"/>
                <w:szCs w:val="16"/>
              </w:rPr>
              <w:t>Basic</w:t>
            </w:r>
            <w:proofErr w:type="spellEnd"/>
            <w:r>
              <w:rPr>
                <w:sz w:val="16"/>
                <w:szCs w:val="16"/>
              </w:rPr>
              <w:t>. Foi encontrada</w:t>
            </w:r>
            <w:proofErr w:type="gramStart"/>
            <w:r>
              <w:rPr>
                <w:sz w:val="16"/>
                <w:szCs w:val="16"/>
              </w:rPr>
              <w:t xml:space="preserve"> por exemplo</w:t>
            </w:r>
            <w:proofErr w:type="gramEnd"/>
            <w:r>
              <w:rPr>
                <w:sz w:val="16"/>
                <w:szCs w:val="16"/>
              </w:rPr>
              <w:t xml:space="preserve"> um </w:t>
            </w:r>
            <w:proofErr w:type="spellStart"/>
            <w:r>
              <w:rPr>
                <w:sz w:val="16"/>
                <w:szCs w:val="16"/>
              </w:rPr>
              <w:t>plugin</w:t>
            </w:r>
            <w:proofErr w:type="spellEnd"/>
            <w:r>
              <w:rPr>
                <w:sz w:val="16"/>
                <w:szCs w:val="16"/>
              </w:rPr>
              <w:t xml:space="preserve"> par o IDE eclipse que se destina à modelagem de processos de negócios, mas era escrita em Java.</w:t>
            </w: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IBIS</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(igual)</w:t>
            </w:r>
          </w:p>
        </w:tc>
        <w:tc>
          <w:tcPr>
            <w:tcW w:w="760" w:type="dxa"/>
          </w:tcPr>
          <w:p w:rsidR="0086659B" w:rsidRDefault="0086659B" w:rsidP="00756C93">
            <w:pPr>
              <w:rPr>
                <w:sz w:val="16"/>
                <w:szCs w:val="16"/>
              </w:rPr>
            </w:pPr>
            <w:r>
              <w:rPr>
                <w:sz w:val="16"/>
                <w:szCs w:val="16"/>
              </w:rPr>
              <w:t xml:space="preserve">Compatível. </w:t>
            </w:r>
          </w:p>
          <w:p w:rsidR="0086659B" w:rsidRPr="00D115CE" w:rsidRDefault="0086659B" w:rsidP="00756C93">
            <w:pPr>
              <w:rPr>
                <w:sz w:val="16"/>
                <w:szCs w:val="16"/>
              </w:rPr>
            </w:pPr>
            <w:r>
              <w:rPr>
                <w:sz w:val="16"/>
                <w:szCs w:val="16"/>
              </w:rPr>
              <w:t>Verificado durante esta pesquisa que a técnica de TORANZO pode auxiliar a racionalizar o processo de negociação.</w:t>
            </w:r>
          </w:p>
        </w:tc>
        <w:tc>
          <w:tcPr>
            <w:tcW w:w="793" w:type="dxa"/>
          </w:tcPr>
          <w:p w:rsidR="0086659B" w:rsidRPr="00D115CE" w:rsidRDefault="0086659B" w:rsidP="00756C93">
            <w:pPr>
              <w:rPr>
                <w:sz w:val="16"/>
                <w:szCs w:val="16"/>
              </w:rPr>
            </w:pPr>
          </w:p>
        </w:tc>
        <w:tc>
          <w:tcPr>
            <w:tcW w:w="1214" w:type="dxa"/>
          </w:tcPr>
          <w:p w:rsidR="0086659B" w:rsidRPr="00D115CE" w:rsidRDefault="0086659B" w:rsidP="00756C93">
            <w:pPr>
              <w:rPr>
                <w:sz w:val="16"/>
                <w:szCs w:val="16"/>
              </w:rPr>
            </w:pPr>
          </w:p>
        </w:tc>
        <w:tc>
          <w:tcPr>
            <w:tcW w:w="765" w:type="dxa"/>
          </w:tcPr>
          <w:p w:rsidR="0086659B" w:rsidRPr="00D115CE" w:rsidRDefault="0086659B" w:rsidP="00756C93">
            <w:pPr>
              <w:rPr>
                <w:sz w:val="16"/>
                <w:szCs w:val="16"/>
              </w:rPr>
            </w:pPr>
          </w:p>
        </w:tc>
        <w:tc>
          <w:tcPr>
            <w:tcW w:w="910" w:type="dxa"/>
          </w:tcPr>
          <w:p w:rsidR="0086659B" w:rsidRPr="00D115CE" w:rsidRDefault="0086659B" w:rsidP="00756C93">
            <w:pPr>
              <w:rPr>
                <w:sz w:val="16"/>
                <w:szCs w:val="16"/>
              </w:rPr>
            </w:pP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TECNICA DE TORANZO</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(já comparado0</w:t>
            </w:r>
          </w:p>
        </w:tc>
        <w:tc>
          <w:tcPr>
            <w:tcW w:w="705"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(igual)</w:t>
            </w:r>
          </w:p>
        </w:tc>
        <w:tc>
          <w:tcPr>
            <w:tcW w:w="793" w:type="dxa"/>
          </w:tcPr>
          <w:p w:rsidR="0086659B" w:rsidRPr="00D115CE" w:rsidRDefault="0086659B" w:rsidP="00756C93">
            <w:pPr>
              <w:rPr>
                <w:sz w:val="16"/>
                <w:szCs w:val="16"/>
              </w:rPr>
            </w:pPr>
          </w:p>
        </w:tc>
        <w:tc>
          <w:tcPr>
            <w:tcW w:w="1214" w:type="dxa"/>
          </w:tcPr>
          <w:p w:rsidR="0086659B" w:rsidRPr="00D115CE" w:rsidRDefault="0086659B" w:rsidP="00756C93">
            <w:pPr>
              <w:rPr>
                <w:sz w:val="16"/>
                <w:szCs w:val="16"/>
              </w:rPr>
            </w:pPr>
          </w:p>
        </w:tc>
        <w:tc>
          <w:tcPr>
            <w:tcW w:w="765" w:type="dxa"/>
          </w:tcPr>
          <w:p w:rsidR="0086659B" w:rsidRPr="00D115CE" w:rsidRDefault="0086659B" w:rsidP="00756C93">
            <w:pPr>
              <w:rPr>
                <w:sz w:val="16"/>
                <w:szCs w:val="16"/>
              </w:rPr>
            </w:pPr>
          </w:p>
        </w:tc>
        <w:tc>
          <w:tcPr>
            <w:tcW w:w="910" w:type="dxa"/>
          </w:tcPr>
          <w:p w:rsidR="0086659B" w:rsidRPr="00D115CE" w:rsidRDefault="0086659B" w:rsidP="00756C93">
            <w:pPr>
              <w:rPr>
                <w:sz w:val="16"/>
                <w:szCs w:val="16"/>
              </w:rPr>
            </w:pP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UML</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Compatível. Como demonstrado em (DIDIER, 2003)</w:t>
            </w:r>
          </w:p>
        </w:tc>
        <w:tc>
          <w:tcPr>
            <w:tcW w:w="793" w:type="dxa"/>
          </w:tcPr>
          <w:p w:rsidR="0086659B" w:rsidRPr="00D115CE" w:rsidRDefault="0086659B" w:rsidP="00756C93">
            <w:pPr>
              <w:rPr>
                <w:sz w:val="16"/>
                <w:szCs w:val="16"/>
              </w:rPr>
            </w:pPr>
            <w:r>
              <w:rPr>
                <w:sz w:val="16"/>
                <w:szCs w:val="16"/>
              </w:rPr>
              <w:t>(igual)</w:t>
            </w:r>
          </w:p>
        </w:tc>
        <w:tc>
          <w:tcPr>
            <w:tcW w:w="1214" w:type="dxa"/>
          </w:tcPr>
          <w:p w:rsidR="0086659B" w:rsidRPr="00D115CE" w:rsidRDefault="0086659B" w:rsidP="00756C93">
            <w:pPr>
              <w:rPr>
                <w:sz w:val="16"/>
                <w:szCs w:val="16"/>
              </w:rPr>
            </w:pPr>
          </w:p>
        </w:tc>
        <w:tc>
          <w:tcPr>
            <w:tcW w:w="765" w:type="dxa"/>
          </w:tcPr>
          <w:p w:rsidR="0086659B" w:rsidRPr="00D115CE" w:rsidRDefault="0086659B" w:rsidP="00756C93">
            <w:pPr>
              <w:rPr>
                <w:sz w:val="16"/>
                <w:szCs w:val="16"/>
              </w:rPr>
            </w:pPr>
          </w:p>
        </w:tc>
        <w:tc>
          <w:tcPr>
            <w:tcW w:w="910" w:type="dxa"/>
          </w:tcPr>
          <w:p w:rsidR="0086659B" w:rsidRPr="00D115CE" w:rsidRDefault="0086659B" w:rsidP="00756C93">
            <w:pPr>
              <w:rPr>
                <w:sz w:val="16"/>
                <w:szCs w:val="16"/>
              </w:rPr>
            </w:pP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OCL</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 xml:space="preserve">Compatível. Não encontrado nenhuma </w:t>
            </w:r>
            <w:proofErr w:type="spellStart"/>
            <w:r>
              <w:rPr>
                <w:sz w:val="16"/>
                <w:szCs w:val="16"/>
              </w:rPr>
              <w:t>restração</w:t>
            </w:r>
            <w:proofErr w:type="spellEnd"/>
            <w:r>
              <w:rPr>
                <w:sz w:val="16"/>
                <w:szCs w:val="16"/>
              </w:rPr>
              <w:t>, nas duas</w:t>
            </w:r>
            <w:proofErr w:type="gramStart"/>
            <w:r>
              <w:rPr>
                <w:sz w:val="16"/>
                <w:szCs w:val="16"/>
              </w:rPr>
              <w:t xml:space="preserve">  </w:t>
            </w:r>
            <w:proofErr w:type="gramEnd"/>
            <w:r>
              <w:rPr>
                <w:sz w:val="16"/>
                <w:szCs w:val="16"/>
              </w:rPr>
              <w:t>tecnologias,  ao uso em conjunto.</w:t>
            </w:r>
          </w:p>
        </w:tc>
        <w:tc>
          <w:tcPr>
            <w:tcW w:w="793" w:type="dxa"/>
          </w:tcPr>
          <w:p w:rsidR="0086659B" w:rsidRPr="00D115CE" w:rsidRDefault="0086659B" w:rsidP="00756C93">
            <w:pPr>
              <w:rPr>
                <w:sz w:val="16"/>
                <w:szCs w:val="16"/>
              </w:rPr>
            </w:pPr>
          </w:p>
        </w:tc>
        <w:tc>
          <w:tcPr>
            <w:tcW w:w="1214" w:type="dxa"/>
          </w:tcPr>
          <w:p w:rsidR="0086659B" w:rsidRPr="00D115CE" w:rsidRDefault="0086659B" w:rsidP="00756C93">
            <w:pPr>
              <w:rPr>
                <w:sz w:val="16"/>
                <w:szCs w:val="16"/>
              </w:rPr>
            </w:pPr>
            <w:r>
              <w:rPr>
                <w:sz w:val="16"/>
                <w:szCs w:val="16"/>
              </w:rPr>
              <w:t>(igual)</w:t>
            </w:r>
          </w:p>
        </w:tc>
        <w:tc>
          <w:tcPr>
            <w:tcW w:w="765" w:type="dxa"/>
          </w:tcPr>
          <w:p w:rsidR="0086659B" w:rsidRPr="00D115CE" w:rsidRDefault="0086659B" w:rsidP="00756C93">
            <w:pPr>
              <w:rPr>
                <w:sz w:val="16"/>
                <w:szCs w:val="16"/>
              </w:rPr>
            </w:pPr>
          </w:p>
        </w:tc>
        <w:tc>
          <w:tcPr>
            <w:tcW w:w="910" w:type="dxa"/>
          </w:tcPr>
          <w:p w:rsidR="0086659B" w:rsidRPr="00D115CE" w:rsidRDefault="0086659B" w:rsidP="00756C93">
            <w:pPr>
              <w:rPr>
                <w:sz w:val="16"/>
                <w:szCs w:val="16"/>
              </w:rPr>
            </w:pP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RUP</w:t>
            </w:r>
          </w:p>
        </w:tc>
        <w:tc>
          <w:tcPr>
            <w:tcW w:w="705" w:type="dxa"/>
          </w:tcPr>
          <w:p w:rsidR="0086659B" w:rsidRPr="00D115CE" w:rsidRDefault="0086659B" w:rsidP="00756C93">
            <w:pPr>
              <w:rPr>
                <w:sz w:val="16"/>
                <w:szCs w:val="16"/>
              </w:rPr>
            </w:pPr>
            <w:r>
              <w:rPr>
                <w:sz w:val="16"/>
                <w:szCs w:val="16"/>
              </w:rPr>
              <w:t>(já comparado)</w:t>
            </w:r>
          </w:p>
        </w:tc>
        <w:tc>
          <w:tcPr>
            <w:tcW w:w="719"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05" w:type="dxa"/>
          </w:tcPr>
          <w:p w:rsidR="0086659B" w:rsidRPr="00D115CE" w:rsidRDefault="0086659B" w:rsidP="00756C93">
            <w:pPr>
              <w:rPr>
                <w:sz w:val="16"/>
                <w:szCs w:val="16"/>
              </w:rPr>
            </w:pPr>
            <w:r>
              <w:rPr>
                <w:sz w:val="16"/>
                <w:szCs w:val="16"/>
              </w:rPr>
              <w:t>(já comparado)</w:t>
            </w:r>
          </w:p>
        </w:tc>
        <w:tc>
          <w:tcPr>
            <w:tcW w:w="760" w:type="dxa"/>
          </w:tcPr>
          <w:p w:rsidR="0086659B" w:rsidRPr="00D115CE" w:rsidRDefault="0086659B" w:rsidP="00756C93">
            <w:pPr>
              <w:rPr>
                <w:sz w:val="16"/>
                <w:szCs w:val="16"/>
              </w:rPr>
            </w:pPr>
          </w:p>
        </w:tc>
        <w:tc>
          <w:tcPr>
            <w:tcW w:w="793" w:type="dxa"/>
          </w:tcPr>
          <w:p w:rsidR="0086659B" w:rsidRPr="00D115CE" w:rsidRDefault="0086659B" w:rsidP="00756C93">
            <w:pPr>
              <w:rPr>
                <w:sz w:val="16"/>
                <w:szCs w:val="16"/>
              </w:rPr>
            </w:pPr>
          </w:p>
        </w:tc>
        <w:tc>
          <w:tcPr>
            <w:tcW w:w="1214" w:type="dxa"/>
          </w:tcPr>
          <w:p w:rsidR="0086659B" w:rsidRPr="00D115CE" w:rsidRDefault="0086659B" w:rsidP="00756C93">
            <w:pPr>
              <w:rPr>
                <w:sz w:val="16"/>
                <w:szCs w:val="16"/>
              </w:rPr>
            </w:pPr>
          </w:p>
        </w:tc>
        <w:tc>
          <w:tcPr>
            <w:tcW w:w="765" w:type="dxa"/>
          </w:tcPr>
          <w:p w:rsidR="0086659B" w:rsidRPr="00D115CE" w:rsidRDefault="0086659B" w:rsidP="00756C93">
            <w:pPr>
              <w:rPr>
                <w:sz w:val="16"/>
                <w:szCs w:val="16"/>
              </w:rPr>
            </w:pPr>
            <w:r>
              <w:rPr>
                <w:sz w:val="16"/>
                <w:szCs w:val="16"/>
              </w:rPr>
              <w:t>(igual)</w:t>
            </w:r>
          </w:p>
        </w:tc>
        <w:tc>
          <w:tcPr>
            <w:tcW w:w="910" w:type="dxa"/>
          </w:tcPr>
          <w:p w:rsidR="0086659B" w:rsidRDefault="0086659B" w:rsidP="00756C93">
            <w:pPr>
              <w:rPr>
                <w:sz w:val="16"/>
                <w:szCs w:val="16"/>
              </w:rPr>
            </w:pPr>
          </w:p>
        </w:tc>
      </w:tr>
      <w:tr w:rsidR="0086659B" w:rsidRPr="00D115CE" w:rsidTr="0086659B">
        <w:tc>
          <w:tcPr>
            <w:tcW w:w="292" w:type="dxa"/>
            <w:shd w:val="clear" w:color="auto" w:fill="D9D9D9" w:themeFill="background1" w:themeFillShade="D9"/>
          </w:tcPr>
          <w:p w:rsidR="0086659B" w:rsidRPr="005A26AC" w:rsidRDefault="0086659B" w:rsidP="00756C93">
            <w:pPr>
              <w:rPr>
                <w:b/>
                <w:sz w:val="16"/>
                <w:szCs w:val="16"/>
              </w:rPr>
            </w:pPr>
            <w:r w:rsidRPr="005A26AC">
              <w:rPr>
                <w:b/>
                <w:sz w:val="16"/>
                <w:szCs w:val="16"/>
              </w:rPr>
              <w:t>MS VISUAL BASIC</w:t>
            </w:r>
          </w:p>
        </w:tc>
        <w:tc>
          <w:tcPr>
            <w:tcW w:w="705" w:type="dxa"/>
          </w:tcPr>
          <w:p w:rsidR="0086659B" w:rsidRPr="00D115CE" w:rsidRDefault="0086659B" w:rsidP="00756C93">
            <w:pPr>
              <w:rPr>
                <w:sz w:val="16"/>
                <w:szCs w:val="16"/>
              </w:rPr>
            </w:pPr>
          </w:p>
        </w:tc>
        <w:tc>
          <w:tcPr>
            <w:tcW w:w="719" w:type="dxa"/>
          </w:tcPr>
          <w:p w:rsidR="0086659B" w:rsidRPr="00D115CE" w:rsidRDefault="0086659B" w:rsidP="00756C93">
            <w:pPr>
              <w:rPr>
                <w:sz w:val="16"/>
                <w:szCs w:val="16"/>
              </w:rPr>
            </w:pPr>
          </w:p>
        </w:tc>
        <w:tc>
          <w:tcPr>
            <w:tcW w:w="760" w:type="dxa"/>
          </w:tcPr>
          <w:p w:rsidR="0086659B" w:rsidRPr="00D115CE" w:rsidRDefault="0086659B" w:rsidP="00756C93">
            <w:pPr>
              <w:rPr>
                <w:sz w:val="16"/>
                <w:szCs w:val="16"/>
              </w:rPr>
            </w:pPr>
          </w:p>
        </w:tc>
        <w:tc>
          <w:tcPr>
            <w:tcW w:w="705" w:type="dxa"/>
          </w:tcPr>
          <w:p w:rsidR="0086659B" w:rsidRPr="00D115CE" w:rsidRDefault="0086659B" w:rsidP="00756C93">
            <w:pPr>
              <w:rPr>
                <w:sz w:val="16"/>
                <w:szCs w:val="16"/>
              </w:rPr>
            </w:pPr>
          </w:p>
        </w:tc>
        <w:tc>
          <w:tcPr>
            <w:tcW w:w="705" w:type="dxa"/>
          </w:tcPr>
          <w:p w:rsidR="0086659B" w:rsidRPr="00D115CE" w:rsidRDefault="0086659B" w:rsidP="00756C93">
            <w:pPr>
              <w:rPr>
                <w:sz w:val="16"/>
                <w:szCs w:val="16"/>
              </w:rPr>
            </w:pPr>
          </w:p>
        </w:tc>
        <w:tc>
          <w:tcPr>
            <w:tcW w:w="760" w:type="dxa"/>
          </w:tcPr>
          <w:p w:rsidR="0086659B" w:rsidRPr="00D115CE" w:rsidRDefault="0086659B" w:rsidP="00756C93">
            <w:pPr>
              <w:rPr>
                <w:sz w:val="16"/>
                <w:szCs w:val="16"/>
              </w:rPr>
            </w:pPr>
          </w:p>
        </w:tc>
        <w:tc>
          <w:tcPr>
            <w:tcW w:w="793" w:type="dxa"/>
          </w:tcPr>
          <w:p w:rsidR="0086659B" w:rsidRPr="00D115CE" w:rsidRDefault="0086659B" w:rsidP="00756C93">
            <w:pPr>
              <w:rPr>
                <w:sz w:val="16"/>
                <w:szCs w:val="16"/>
              </w:rPr>
            </w:pPr>
          </w:p>
        </w:tc>
        <w:tc>
          <w:tcPr>
            <w:tcW w:w="1214" w:type="dxa"/>
          </w:tcPr>
          <w:p w:rsidR="0086659B" w:rsidRPr="00D115CE" w:rsidRDefault="0086659B" w:rsidP="00756C93">
            <w:pPr>
              <w:rPr>
                <w:sz w:val="16"/>
                <w:szCs w:val="16"/>
              </w:rPr>
            </w:pPr>
          </w:p>
        </w:tc>
        <w:tc>
          <w:tcPr>
            <w:tcW w:w="765" w:type="dxa"/>
          </w:tcPr>
          <w:p w:rsidR="0086659B" w:rsidRPr="00D115CE" w:rsidRDefault="0086659B" w:rsidP="00756C93">
            <w:pPr>
              <w:rPr>
                <w:sz w:val="16"/>
                <w:szCs w:val="16"/>
              </w:rPr>
            </w:pPr>
          </w:p>
        </w:tc>
        <w:tc>
          <w:tcPr>
            <w:tcW w:w="910" w:type="dxa"/>
          </w:tcPr>
          <w:p w:rsidR="0086659B" w:rsidRPr="00D115CE" w:rsidRDefault="0086659B" w:rsidP="00756C93">
            <w:pPr>
              <w:rPr>
                <w:sz w:val="16"/>
                <w:szCs w:val="16"/>
              </w:rPr>
            </w:pPr>
          </w:p>
        </w:tc>
      </w:tr>
    </w:tbl>
    <w:p w:rsidR="0086659B" w:rsidRDefault="0086659B" w:rsidP="0086659B">
      <w:pPr>
        <w:pStyle w:val="Textbody"/>
        <w:tabs>
          <w:tab w:val="left" w:pos="1120"/>
        </w:tabs>
        <w:spacing w:before="60" w:after="60"/>
        <w:jc w:val="center"/>
        <w:rPr>
          <w:rFonts w:ascii="Times New Roman" w:eastAsia="IPNHMB+TimesNewRoman" w:hAnsi="Times New Roman" w:cs="Times New Roman"/>
        </w:rPr>
      </w:pPr>
    </w:p>
    <w:p w:rsidR="0086659B" w:rsidRDefault="0086659B"/>
    <w:sectPr w:rsidR="0086659B" w:rsidSect="007A3F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328A1"/>
    <w:rsid w:val="00030F7D"/>
    <w:rsid w:val="00061B88"/>
    <w:rsid w:val="000A07BC"/>
    <w:rsid w:val="001F5BDA"/>
    <w:rsid w:val="00205654"/>
    <w:rsid w:val="00234C12"/>
    <w:rsid w:val="002736DD"/>
    <w:rsid w:val="002852D4"/>
    <w:rsid w:val="0029231F"/>
    <w:rsid w:val="002F3CAF"/>
    <w:rsid w:val="003328A1"/>
    <w:rsid w:val="004575E3"/>
    <w:rsid w:val="004C0561"/>
    <w:rsid w:val="005215B8"/>
    <w:rsid w:val="00550E4F"/>
    <w:rsid w:val="006517D5"/>
    <w:rsid w:val="006A3D0B"/>
    <w:rsid w:val="006B1BC8"/>
    <w:rsid w:val="006B5A47"/>
    <w:rsid w:val="007003EA"/>
    <w:rsid w:val="007A3FD7"/>
    <w:rsid w:val="007D53D1"/>
    <w:rsid w:val="0086659B"/>
    <w:rsid w:val="00895719"/>
    <w:rsid w:val="008D73B9"/>
    <w:rsid w:val="009502BB"/>
    <w:rsid w:val="0096391C"/>
    <w:rsid w:val="00981131"/>
    <w:rsid w:val="00A521A7"/>
    <w:rsid w:val="00AA4334"/>
    <w:rsid w:val="00AC6EA3"/>
    <w:rsid w:val="00AE6DDC"/>
    <w:rsid w:val="00B02553"/>
    <w:rsid w:val="00B27768"/>
    <w:rsid w:val="00B573C0"/>
    <w:rsid w:val="00B72C76"/>
    <w:rsid w:val="00B90D1F"/>
    <w:rsid w:val="00BC487A"/>
    <w:rsid w:val="00BD7C96"/>
    <w:rsid w:val="00BF6CAA"/>
    <w:rsid w:val="00BF7C62"/>
    <w:rsid w:val="00C04C14"/>
    <w:rsid w:val="00C403C4"/>
    <w:rsid w:val="00C60807"/>
    <w:rsid w:val="00C70ACE"/>
    <w:rsid w:val="00C97010"/>
    <w:rsid w:val="00CA0E76"/>
    <w:rsid w:val="00CA783F"/>
    <w:rsid w:val="00CC66EC"/>
    <w:rsid w:val="00D47B61"/>
    <w:rsid w:val="00D9778F"/>
    <w:rsid w:val="00DD00B1"/>
    <w:rsid w:val="00EB5633"/>
    <w:rsid w:val="00F30499"/>
    <w:rsid w:val="00F31CAB"/>
    <w:rsid w:val="00F90B92"/>
    <w:rsid w:val="00F91185"/>
    <w:rsid w:val="00FD1BCB"/>
    <w:rsid w:val="00FD30BA"/>
    <w:rsid w:val="00FE36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FD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3328A1"/>
    <w:pPr>
      <w:widowControl w:val="0"/>
      <w:suppressLineNumbers/>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Normal"/>
    <w:rsid w:val="0086659B"/>
    <w:pPr>
      <w:widowControl w:val="0"/>
      <w:suppressAutoHyphens/>
      <w:autoSpaceDN w:val="0"/>
      <w:spacing w:after="120" w:line="240" w:lineRule="auto"/>
      <w:textAlignment w:val="baseline"/>
    </w:pPr>
    <w:rPr>
      <w:rFonts w:ascii="Nimbus Roman No9 L" w:eastAsia="DejaVu Sans" w:hAnsi="Nimbus Roman No9 L" w:cs="Lucidasans"/>
      <w:kern w:val="3"/>
      <w:sz w:val="24"/>
      <w:szCs w:val="24"/>
      <w:lang w:eastAsia="pt-BR"/>
    </w:rPr>
  </w:style>
  <w:style w:type="table" w:styleId="Tabelacomgrade">
    <w:name w:val="Table Grid"/>
    <w:basedOn w:val="Tabelanormal"/>
    <w:uiPriority w:val="59"/>
    <w:rsid w:val="00866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1966</Words>
  <Characters>10617</Characters>
  <Application>Microsoft Office Word</Application>
  <DocSecurity>0</DocSecurity>
  <Lines>88</Lines>
  <Paragraphs>25</Paragraphs>
  <ScaleCrop>false</ScaleCrop>
  <Company/>
  <LinksUpToDate>false</LinksUpToDate>
  <CharactersWithSpaces>12558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lorena</dc:creator>
  <cp:lastModifiedBy>lorena</cp:lastModifiedBy>
  <cp:revision>4</cp:revision>
  <cp:lastPrinted>2011-04-18T18:10:00Z</cp:lastPrinted>
  <dcterms:created xsi:type="dcterms:W3CDTF">2011-04-18T18:09:00Z</dcterms:created>
  <dcterms:modified xsi:type="dcterms:W3CDTF">2011-04-18T18:33:00Z</dcterms:modified>
</cp:coreProperties>
</file>