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9640101</wp:posOffset>
            </wp:positionV>
            <wp:extent cx="7560564" cy="1038270"/>
            <wp:effectExtent b="0" l="0" r="0" t="0"/>
            <wp:wrapNone/>
            <wp:docPr id="100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38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80"/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ACTA DE REUNION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2.0" w:type="dxa"/>
        <w:jc w:val="left"/>
        <w:tblInd w:w="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5"/>
        <w:gridCol w:w="4364"/>
        <w:gridCol w:w="1438"/>
        <w:gridCol w:w="1605"/>
        <w:tblGridChange w:id="0">
          <w:tblGrid>
            <w:gridCol w:w="1375"/>
            <w:gridCol w:w="4364"/>
            <w:gridCol w:w="1438"/>
            <w:gridCol w:w="1605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27 de mayo de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2:58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Google meet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68" w:lineRule="auto"/>
              <w:ind w:left="108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3:58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shd w:fill="d9e1f3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t>Cliente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t xml:space="preserve">Revisión Campañas - Universal Academia de Idiomas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>
        <w:t>INVITADOS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095.0" w:type="dxa"/>
        <w:jc w:val="left"/>
        <w:tblInd w:w="15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4"/>
        <w:gridCol w:w="2977"/>
        <w:gridCol w:w="1134"/>
        <w:tblGridChange w:id="0">
          <w:tblGrid>
            <w:gridCol w:w="1984"/>
            <w:gridCol w:w="2977"/>
            <w:gridCol w:w="113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Nombre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Puesto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Asistencia</w:t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Organizador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Executive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David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Pauta, CRM y analítica Growfik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Sebastián Díaz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Marketing Growfik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Sophia Bello Mendez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Universal Idiomas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DE LA REUNIÓN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/>
        <w:t xml:space="preserve">Revisar y ajustar las campañas digitales para mejorar la eficiencia y el presupuesto, definir la metodología correcta de extracción y verificación de datos reales de matrículas desde Bitrix.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ASUNTOS TRATADOS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1. Validación de datos comerciales</w:t>
      </w:r>
    </w:p>
    <w:p>
      <w:pPr>
        <w:pStyle w:val="normal"/>
      </w:pPr>
      <w:r>
        <w:t xml:space="preserve">Se detectaron inconsistencias en los informes de matrículas manuales. El equipo mantendrá sus propios cálculos hasta estandarizar la extracción de datos.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2. Optimización de presupuestos digitales</w:t>
      </w:r>
    </w:p>
    <w:p>
      <w:pPr>
        <w:pStyle w:val="normal"/>
      </w:pPr>
      <w:r>
        <w:t xml:space="preserve">Se decidió mantener la inversión en Google en 15 200 y ajustar la distribución entre TikTok y Meta según resultados previos.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3. Ajustes técnicos en campañas</w:t>
      </w:r>
    </w:p>
    <w:p>
      <w:pPr>
        <w:pStyle w:val="normal"/>
      </w:pPr>
      <w:r>
        <w:t xml:space="preserve">Se implementarán públicos personalizados y ajustes en el tope de costo en Meta. Se requiere gestionar accesos a formularios e Instagram para optimizar resultados.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4. Planificación del presupuesto de junio</w:t>
      </w:r>
    </w:p>
    <w:p>
      <w:pPr>
        <w:pStyle w:val="normal"/>
      </w:pPr>
      <w:r>
        <w:t xml:space="preserve">Se aclaró que los presupuestos presentados en el archivo compartido son tentativos y se fijarán oficialmente en la próxima reunión del 3 de junio.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5. Estructura de presupuestos por modelo de venta</w:t>
      </w:r>
    </w:p>
    <w:p>
      <w:pPr>
        <w:pStyle w:val="normal"/>
      </w:pPr>
      <w:r>
        <w:t xml:space="preserve">Se acordó dividir los presupuestos para los dos modelos de venta de U-Kits Online, ya que cada uno requiere una asignación de recursos diferente.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6. Asignación de presupuesto para Google y TikTok</w:t>
      </w:r>
    </w:p>
    <w:p>
      <w:pPr>
        <w:pStyle w:val="normal"/>
      </w:pPr>
      <w:r>
        <w:t xml:space="preserve">Se estableció que el presupuesto para Google se mantendrá en 15 200, mientras que se plantea una estrategia para incrementar la inversión en TikTok y reducirla en Meta.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7. Recomendaciones técnicas para campañas en Meta</w:t>
      </w:r>
    </w:p>
    <w:p>
      <w:pPr>
        <w:pStyle w:val="normal"/>
      </w:pPr>
      <w:r>
        <w:t xml:space="preserve">ADS Gorila Hosting realizó un análisis de las campañas activas en Meta, sugiriendo configurar públicos personalizados para un remarketing más eficiente.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8. Estrategia de verificación y calidad de prospectos</w:t>
      </w:r>
    </w:p>
    <w:p>
      <w:pPr>
        <w:pStyle w:val="normal"/>
      </w:pPr>
      <w:r>
        <w:t xml:space="preserve">Se confirmó la adopción de las recomendaciones para ajustar los públicos y el CPA, reiterando que la métrica de éxito es la matrícula real y no solo el CPL.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9. Gestión de accesos y permisos</w:t>
      </w:r>
    </w:p>
    <w:p>
      <w:pPr>
        <w:pStyle w:val="normal"/>
      </w:pPr>
      <w:r>
        <w:t xml:space="preserve">ADS Gorila Hosting señaló que la falta de acceso a formularios e Instagram limita su capacidad de análisis y optimización.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10. Responsabilidades en la gestión de campañas</w:t>
      </w:r>
    </w:p>
    <w:p>
      <w:pPr>
        <w:pStyle w:val="normal"/>
      </w:pPr>
      <w:r>
        <w:t xml:space="preserve">Se confirmó que tanto Marco como Cat serán los responsables conjuntos de la modificación, creación y optimización de las campañas de Google.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11. Solicitud de permisos</w:t>
      </w:r>
    </w:p>
    <w:p>
      <w:pPr>
        <w:pStyle w:val="normal"/>
      </w:pPr>
      <w:r>
        <w:t xml:space="preserve">Administración Gorila Hosting se comprometió a gestionar una solicitud formal con David para otorgar los permisos necesarios a ADS Gorila Hosting.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COMPROMISOS ASUMIDOS POR GORILA &amp; GROWFIK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88.0" w:type="dxa"/>
        <w:jc w:val="left"/>
        <w:tblInd w:w="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4241"/>
        <w:gridCol w:w="1701"/>
        <w:gridCol w:w="1984"/>
        <w:tblGridChange w:id="0">
          <w:tblGrid>
            <w:gridCol w:w="562"/>
            <w:gridCol w:w="4241"/>
            <w:gridCol w:w="1701"/>
            <w:gridCol w:w="1984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Reemplazar el correo electronico anterior por el nuevo enviado por Angelica que usa el dominio gorila.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Marketing  Administración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Revisar y actualizar los publicos objetivo en las campanas de Meta para mejorar la segmentacion.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Marco Gonzalez, Katherin Miluska Laulate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Modificar el costo por adquisicion en las campanas de Meta para optimizar el consumo del presupuesto diario.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Marco Gonzalez, Katherin Miluska Laulate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Enviar un correo formal a David para obtener acceso a las campanas y formularios en Meta.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Administración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</w:tbl>
    <w:p w:rsidR="00000000" w:rsidDel="00000000" w:rsidP="00000000" w:rsidRDefault="00000000" w:rsidRPr="00000000" w14:paraId="00000031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COMPROMISOS ASUMIDOS POR EL CLIENTE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9"/>
        <w:gridCol w:w="4241"/>
        <w:gridCol w:w="1701"/>
        <w:gridCol w:w="1984"/>
        <w:tblGridChange w:id="0">
          <w:tblGrid>
            <w:gridCol w:w="579"/>
            <w:gridCol w:w="4241"/>
            <w:gridCol w:w="1701"/>
            <w:gridCol w:w="198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</w:t>
            </w:r>
          </w:p>
        </w:tc>
      </w:tr>
      <w:tr>
        <w:trPr>
          <w:cantSplit w:val="0"/>
          <w:trHeight w:val="63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Reunirse para definir la metodologia correcta de extraccion y verificacion de datos reales de matriculas desde Bitrix.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Universal Academia de Idiomas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CierreH">
      <w:r>
        <w:t>CIERRE DE LA REUNIÓN</w:t>
      </w:r>
    </w:p>
    <w:p w:rsidR="00000000" w:rsidDel="00000000" w:rsidP="00000000" w:rsidRDefault="00000000" w:rsidRPr="00000000" w14:paraId="0000CierreB">
      <w:r>
        <w:t xml:space="preserve">Se acordó mantener la inversión en Google y ajustar la distribución entre TikTok y Meta según resultados previos. Se fijará el presupuesto final en junio. Se requiere gestionar accesos a formularios e Instagram para optimizar resultados. La próxima reunión se llevará a cabo el 3 de junio.</w:t>
      </w:r>
    </w:p>
    <w:sectPr>
      <w:headerReference r:id="rId7" w:type="default"/>
      <w:pgSz w:h="16840" w:w="11910" w:orient="portrait"/>
      <w:pgMar w:bottom="1984" w:top="2551" w:left="1417" w:right="1417" w:header="84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7255" cy="1554293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255" cy="155429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"/>
    </w:pPr>
    <w:rPr>
      <w:b w:val="1"/>
      <w:bCs w:val="1"/>
    </w:rPr>
  </w:style>
  <w:style w:type="paragraph" w:styleId="Heading2">
    <w:name w:val="heading 2"/>
    <w:basedOn w:val="Normal"/>
    <w:next w:val="Normal"/>
    <w:pPr>
      <w:widowControl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2026-05-28T02:39:47Z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2025-05-07T00:00:00Z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2025-06-16T00:00:00Z</vt:lpwstr>
  </property>
  <property fmtid="{D5CDD505-2E9C-101B-9397-08002B2CF9AE}" pid="5" name="Producer">
    <vt:lpwstr>Microsoft® Word para Microsoft 365</vt:lpwstr>
  </property>
</Properties>
</file>