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9640101</wp:posOffset>
            </wp:positionV>
            <wp:extent cx="7560564" cy="1038270"/>
            <wp:effectExtent b="0" l="0" r="0" t="0"/>
            <wp:wrapNone/>
            <wp:docPr id="100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60564" cy="103827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2"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before="280"/>
        <w:ind w:left="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ACTA DE REUNION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82.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5"/>
        <w:gridCol w:w="4364"/>
        <w:gridCol w:w="1438"/>
        <w:gridCol w:w="1605"/>
        <w:tblGridChange w:id="0">
          <w:tblGrid>
            <w:gridCol w:w="1375"/>
            <w:gridCol w:w="4364"/>
            <w:gridCol w:w="1438"/>
            <w:gridCol w:w="1605"/>
          </w:tblGrid>
        </w:tblGridChange>
      </w:tblGrid>
      <w:tr>
        <w:trPr>
          <w:cantSplit w:val="0"/>
          <w:trHeight w:val="448" w:hRule="atLeast"/>
          <w:tblHeader w:val="0"/>
        </w:trPr>
        <w:tc>
          <w:tcPr>
            <w:shd w:fill="d9e1f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18 de junio de 2026</w:t>
            </w:r>
            <w:r w:rsidDel="00000000" w:rsidR="00000000" w:rsidRPr="00000000">
              <w:rPr>
                <w:rtl w:val="0"/>
              </w:rPr>
            </w:r>
          </w:p>
        </w:tc>
        <w:tc>
          <w:tcPr>
            <w:shd w:fill="d9e1f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Inicio</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8:30 AM</w:t>
            </w:r>
            <w:r w:rsidDel="00000000" w:rsidR="00000000" w:rsidRPr="00000000">
              <w:rPr>
                <w:rtl w:val="0"/>
              </w:rPr>
            </w:r>
          </w:p>
        </w:tc>
      </w:tr>
      <w:tr>
        <w:trPr>
          <w:cantSplit w:val="0"/>
          <w:trHeight w:val="450" w:hRule="atLeast"/>
          <w:tblHeader w:val="0"/>
        </w:trPr>
        <w:tc>
          <w:tcPr>
            <w:shd w:fill="d9e1f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Lugar</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w:t>
            </w:r>
          </w:p>
        </w:tc>
        <w:tc>
          <w:tcPr>
            <w:shd w:fill="d9e1f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 Fin</w:t>
            </w:r>
          </w:p>
        </w:tc>
        <w:tc>
          <w:tcPr/>
          <w:p w:rsidR="00000000" w:rsidDel="00000000" w:rsidP="00000000" w:rsidRDefault="00000000" w:rsidRPr="00000000" w14:paraId="0000000D">
            <w:pPr>
              <w:spacing w:line="268" w:lineRule="auto"/>
              <w:ind w:left="108"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9:30 AM</w:t>
            </w:r>
            <w:r w:rsidDel="00000000" w:rsidR="00000000" w:rsidRPr="00000000">
              <w:rPr>
                <w:rtl w:val="0"/>
              </w:rPr>
            </w:r>
          </w:p>
        </w:tc>
      </w:tr>
      <w:tr>
        <w:trPr>
          <w:cantSplit w:val="0"/>
          <w:trHeight w:val="451" w:hRule="atLeast"/>
          <w:tblHeader w:val="0"/>
        </w:trPr>
        <w:tc>
          <w:tcPr>
            <w:gridSpan w:val="4"/>
            <w:shd w:fill="d9e1f3"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t>Cliente</w:t>
            </w:r>
          </w:p>
        </w:tc>
      </w:tr>
      <w:tr>
        <w:trPr>
          <w:cantSplit w:val="0"/>
          <w:trHeight w:val="448" w:hRule="atLeast"/>
          <w:tblHeader w:val="0"/>
        </w:trPr>
        <w:tc>
          <w:tcPr>
            <w:gridSpan w:val="4"/>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t xml:space="preserve">Revisión Pauta - Sambal</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ind w:left="2" w:firstLine="0"/>
        <w:jc w:val="center"/>
        <w:rPr>
          <w:rFonts w:ascii="Calibri" w:cs="Calibri" w:eastAsia="Calibri" w:hAnsi="Calibri"/>
          <w:b w:val="1"/>
          <w:bCs w:val="1"/>
        </w:rPr>
      </w:pPr>
      <w:r>
        <w:t>INVITADOS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6095.0" w:type="dxa"/>
        <w:jc w:val="left"/>
        <w:tblInd w:w="1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2977"/>
        <w:gridCol w:w="1134"/>
        <w:tblGridChange w:id="0">
          <w:tblGrid>
            <w:gridCol w:w="1984"/>
            <w:gridCol w:w="2977"/>
            <w:gridCol w:w="1134"/>
          </w:tblGrid>
        </w:tblGridChange>
      </w:tblGrid>
      <w:tr>
        <w:trPr>
          <w:cantSplit w:val="0"/>
          <w:trHeight w:val="450" w:hRule="atLeast"/>
          <w:tblHeader w:val="0"/>
        </w:trPr>
        <w:tc>
          <w:tcPr>
            <w:shd w:fill="d9e1f3"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Nombre</w:t>
            </w:r>
          </w:p>
        </w:tc>
        <w:tc>
          <w:tcPr>
            <w:shd w:fill="d9e1f3"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Puesto</w:t>
            </w:r>
          </w:p>
        </w:tc>
        <w:tc>
          <w:tcPr>
            <w:shd w:fill="d9e1f3"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Asistencia</w:t>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Administración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Organizador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Executive</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Gorila Hosting</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Jaime</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Sambal</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Jaris Table</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Sambal</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Confirmado</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 LA REUNIÓN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 xml:space="preserve">Revisar las métricas de publicidad y cambiar la estrategia hacia el enlace de reservas para optimizar el rendimiento.</w:t>
      </w:r>
      <w:r w:rsidDel="00000000" w:rsidR="00000000" w:rsidRPr="00000000">
        <w:rPr>
          <w:rtl w:val="0"/>
        </w:rPr>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ASUNTOS TRATADOS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72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pPr>
        <w:pStyle w:val="normal"/>
        <w:spacing w:before="240"/>
      </w:pPr>
      <w:r/>
      <w:r>
        <w:rPr>
          <w:b/>
        </w:rPr>
      </w:r>
      <w:r>
        <w:rPr>
          <w:b/>
        </w:rPr>
        <w:t xml:space="preserve">1. Revisión del rendimiento de la campaña</w:t>
      </w:r>
    </w:p>
    <w:p>
      <w:pPr>
        <w:pStyle w:val="normal"/>
      </w:pPr>
      <w:r>
        <w:t xml:space="preserve">Se presentó un panel de control con el rendimiento actual, indicando que desde el 29 de mayo se han gastado 1,100,000 pesos colombianos. La tasa de conversión actual de clics a mensajes es del 27%, situándose por debajo del objetivo esperado del 40%.</w:t>
      </w:r>
    </w:p>
    <w:p>
      <w:pPr>
        <w:pStyle w:val="normal"/>
        <w:spacing w:before="240"/>
      </w:pPr>
      <w:r/>
      <w:r>
        <w:rPr>
          <w:b/>
        </w:rPr>
      </w:r>
      <w:r>
        <w:rPr>
          <w:b/>
        </w:rPr>
        <w:t xml:space="preserve">2. Desafíos con la pauta de WhatsApp</w:t>
      </w:r>
    </w:p>
    <w:p>
      <w:pPr>
        <w:pStyle w:val="normal"/>
      </w:pPr>
      <w:r>
        <w:t xml:space="preserve">Se discutió la dificultad de controlar la calidad de los contactos en las campañas dirigidas a WhatsApp, donde se reciben mensajes de proveedores y servicios irrelevantes, complicando el seguimiento de reservas reales.</w:t>
      </w:r>
    </w:p>
    <w:p>
      <w:pPr>
        <w:pStyle w:val="normal"/>
        <w:spacing w:before="240"/>
      </w:pPr>
      <w:r/>
      <w:r>
        <w:rPr>
          <w:b/>
        </w:rPr>
      </w:r>
      <w:r>
        <w:rPr>
          <w:b/>
        </w:rPr>
        <w:t xml:space="preserve">3. Ajustes estratégicos y cambio de canal</w:t>
      </w:r>
    </w:p>
    <w:p>
      <w:pPr>
        <w:pStyle w:val="normal"/>
      </w:pPr>
      <w:r>
        <w:t xml:space="preserve">Se acordó desactivar la campaña de WhatsApp y redirigir el tráfico hacia el enlace de reservas. Se planea solicitar a los desarrolladores de la plataforma JC la instalación de un fragmento de código (Pixel) de Meta para realizar un seguimiento eficiente del comportamiento de los usuarios en el sitio de reservas.</w:t>
      </w:r>
    </w:p>
    <w:p>
      <w:pPr>
        <w:pStyle w:val="normal"/>
        <w:spacing w:before="240"/>
      </w:pPr>
      <w:r/>
      <w:r>
        <w:rPr>
          <w:b/>
        </w:rPr>
      </w:r>
      <w:r>
        <w:rPr>
          <w:b/>
        </w:rPr>
        <w:t xml:space="preserve">4. Presupuesto y posicionamiento en Google</w:t>
      </w:r>
    </w:p>
    <w:p>
      <w:pPr>
        <w:pStyle w:val="normal"/>
      </w:pPr>
      <w:r>
        <w:t xml:space="preserve">Se analizó el rubro presupuestal, donde se han gastado 1,600,000 pesos de los 2,500,000 pesos iniciales desde el 15 de mayo. Se enfatizó la importancia de aprovechar las altas calificaciones en Google como un motor de conversión.</w:t>
      </w:r>
    </w:p>
    <w:p>
      <w:pPr>
        <w:pStyle w:val="normal"/>
        <w:spacing w:before="240"/>
      </w:pPr>
      <w:r/>
      <w:r>
        <w:rPr>
          <w:b/>
        </w:rPr>
      </w:r>
      <w:r>
        <w:rPr>
          <w:b/>
        </w:rPr>
        <w:t xml:space="preserve">5. Estado del proyecto Casual y contenido visual</w:t>
      </w:r>
    </w:p>
    <w:p>
      <w:pPr>
        <w:pStyle w:val="normal"/>
      </w:pPr>
      <w:r>
        <w:t xml:space="preserve">Se abordó un retraso en la ejecución del contenido para 'Casual', para el cual las fotografías fueron entregadas hace más de 10 días sin avances significativos. Se acordó pausar el video que estaba en desarrollo hasta que se revisen las observaciones.</w:t>
      </w:r>
    </w:p>
    <w:p>
      <w:pPr>
        <w:pStyle w:val="normal"/>
        <w:spacing w:before="240"/>
      </w:pPr>
      <w:r/>
      <w:r>
        <w:rPr>
          <w:b/>
        </w:rPr>
      </w:r>
      <w:r>
        <w:rPr>
          <w:b/>
        </w:rPr>
        <w:t xml:space="preserve">6. Plan de acción y próximos pasos</w:t>
      </w:r>
    </w:p>
    <w:p>
      <w:pPr>
        <w:pStyle w:val="normal"/>
      </w:pPr>
      <w:r>
        <w:t xml:space="preserve">ADS Gorila Hosting se comprometió a formalizar las solicitudes de instalación del Pixel y el cambio de enfoque de las campañas en el grupo de trabajo. La estrategia consistirá en apagar la campaña de WhatsApp, trasladar el formato de video a la campaña de tráfico del enlace de reservas, combinar formatos de imagen con video, y activar la pauta en la ficha de Google My Business para reforzar la adquisición directa.</w:t>
      </w:r>
    </w:p>
    <w:p>
      <w:pPr>
        <w:pStyle w:val="normal"/>
        <w:spacing w:before="240"/>
      </w:pPr>
      <w:r/>
      <w:r>
        <w:rPr>
          <w:b/>
        </w:rPr>
      </w:r>
      <w:r>
        <w:rPr>
          <w:b/>
        </w:rPr>
        <w:t xml:space="preserve">7. Enfoque en datos y filosofía de marketing</w:t>
      </w:r>
    </w:p>
    <w:p>
      <w:pPr>
        <w:pStyle w:val="normal"/>
      </w:pPr>
      <w:r>
        <w:t xml:space="preserve">ADS Gorila Hosting explicó su metodología basada en el análisis de datos, argumentando que priorizar la recolección de información a largo plazo es más efectivo para generar ventas consistentes que buscar resultados inmediatos.</w:t>
      </w:r>
    </w:p>
    <w:p>
      <w:pPr>
        <w:pStyle w:val="normal"/>
        <w:spacing w:before="240"/>
      </w:pPr>
      <w:r/>
      <w:r>
        <w:rPr>
          <w:b/>
        </w:rPr>
      </w:r>
      <w:r>
        <w:rPr>
          <w:b/>
        </w:rPr>
        <w:t xml:space="preserve">8. Acceso a plataformas y credenciales</w:t>
      </w:r>
    </w:p>
    <w:p>
      <w:pPr>
        <w:pStyle w:val="normal"/>
      </w:pPr>
      <w:r>
        <w:t xml:space="preserve">Se confirmó que GRUPO SAMBAL CTG S.A.S. mantiene los accesos a Facebook y Google sin cambios desde el inicio del proyecto. ADS Gorila Hosting revisará el estado de la vinculación de tarjetas en la cuenta de Google y se comunicará con el cliente para gestionar la verificación de acceso de dos pasos cuando sea necesario.</w:t>
      </w:r>
    </w:p>
    <w:p>
      <w:pPr>
        <w:pStyle w:val="normal"/>
        <w:spacing w:before="240"/>
      </w:pPr>
      <w:r/>
      <w:r>
        <w:rPr>
          <w:b/>
        </w:rPr>
      </w:r>
      <w:r>
        <w:rPr>
          <w:b/>
        </w:rPr>
        <w:t xml:space="preserve">9. Consulta sobre el equipo de trabajo</w:t>
      </w:r>
    </w:p>
    <w:p>
      <w:pPr>
        <w:pStyle w:val="normal"/>
      </w:pPr>
      <w:r>
        <w:t xml:space="preserve">GRUPO SAMBAL CTG S.A.S. preguntó por una colaboradora del equipo mencionada en presentaciones anteriores, debido a su experiencia previa con restaurantes reconocidos. ADS Gorila Hosting se comprometió a consultar con dicha integrante para obtener recomendaciones que agilicen y optimicen el trabajo actual.</w:t>
      </w:r>
    </w:p>
    <w:p>
      <w:pPr>
        <w:pStyle w:val="normal"/>
        <w:spacing w:before="240"/>
      </w:pPr>
      <w:r/>
      <w:r>
        <w:rPr>
          <w:b/>
        </w:rPr>
      </w:r>
      <w:r>
        <w:rPr>
          <w:b/>
        </w:rPr>
        <w:t xml:space="preserve">10. Presentación del equipo de Gorila Hosting</w:t>
      </w:r>
    </w:p>
    <w:p>
      <w:pPr>
        <w:pStyle w:val="normal"/>
      </w:pPr>
      <w:r>
        <w:t xml:space="preserve">Administración Gorila Hosting aclaró la estructura actual del equipo, presentando a María Paula (Chief of Staff), Milena Maya (nuevo apoyo en el equipo) y confirmando el rol de Marco como experto en pauta.</w:t>
      </w:r>
    </w:p>
    <w:p>
      <w:pPr>
        <w:pStyle w:val="normal"/>
        <w:spacing w:before="240"/>
      </w:pPr>
      <w:r/>
      <w:r>
        <w:rPr>
          <w:b/>
        </w:rPr>
      </w:r>
      <w:r>
        <w:rPr>
          <w:b/>
        </w:rPr>
        <w:t xml:space="preserve">11. Alcance del proyecto y definiciones futuras</w:t>
      </w:r>
    </w:p>
    <w:p>
      <w:pPr>
        <w:pStyle w:val="normal"/>
      </w:pPr>
      <w:r>
        <w:t xml:space="preserve">Se aclaró que, en el alcance actual, los esfuerzos de desarrollo web están enfocados exclusivamente en Sambal, por lo que para Casual se trabajará únicamente en pauta publicitaria. GRUPO SAMBAL CTG S.A.S. se comprometió a verificar con su socia, Angélica, la propuesta original para confirmar si el alcance incluye la creación de una página web para Casual.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5"/>
        </w:tabs>
        <w:spacing w:after="0" w:before="159"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GORILA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488.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4241"/>
        <w:gridCol w:w="1701"/>
        <w:gridCol w:w="1984"/>
        <w:tblGridChange w:id="0">
          <w:tblGrid>
            <w:gridCol w:w="562"/>
            <w:gridCol w:w="4241"/>
            <w:gridCol w:w="1701"/>
            <w:gridCol w:w="1984"/>
          </w:tblGrid>
        </w:tblGridChange>
      </w:tblGrid>
      <w:tr>
        <w:trPr>
          <w:cantSplit w:val="0"/>
          <w:trHeight w:val="451" w:hRule="atLeast"/>
          <w:tblHeader w:val="0"/>
        </w:trPr>
        <w:tc>
          <w:tcPr>
            <w:shd w:fill="d9e1f3"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Pausar la gestión de pauta publicitaria dirigida directamente a WhatsApp.</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Enviar el requerimiento para la instalación del píxel de Meta en la plataforma JC.</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Pedir la edición de los textos en inglés para los videos de la campaña.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Trasladar el contenido de video a la campaña de tráfico al link de reservas y activar los anuncios en Google My Business.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Verificar la existencia de una tarjeta de crédito vinculada en la plataforma Google Ads.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r>
        <w:trPr>
          <w:cantSplit w:val="0"/>
          <w:trHeight w:val="607" w:hRule="atLeast"/>
          <w:tblHeader w:val="0"/>
        </w:trPr>
        <w:tc>
          <w:tcPr/>
          <w:p w:rsidR="00000000" w:rsidDel="00000000" w:rsidP="00000000" w:rsidRDefault="00000000" w:rsidRPr="00000000" w14:paraId="0000002D">
            <w:pPr>
              <w:spacing w:line="268" w:lineRule="auto"/>
              <w:ind w:left="105"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Solicitar recomendaciones estratégicas a la integrante del equipo basada en Perú.</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ADS Gorila Hosting</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especificada</w:t>
            </w:r>
          </w:p>
        </w:tc>
      </w:tr>
    </w:tbl>
    <w:p w:rsidR="00000000" w:rsidDel="00000000" w:rsidP="00000000" w:rsidRDefault="00000000" w:rsidRPr="00000000" w14:paraId="00000031">
      <w:pPr>
        <w:ind w:left="2"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ind w:left="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COMPROMISOS ASUMIDOS POR EL CLIENTE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4241"/>
        <w:gridCol w:w="1701"/>
        <w:gridCol w:w="1984"/>
        <w:tblGridChange w:id="0">
          <w:tblGrid>
            <w:gridCol w:w="579"/>
            <w:gridCol w:w="4241"/>
            <w:gridCol w:w="1701"/>
            <w:gridCol w:w="1984"/>
          </w:tblGrid>
        </w:tblGridChange>
      </w:tblGrid>
      <w:tr>
        <w:trPr>
          <w:cantSplit w:val="0"/>
          <w:trHeight w:val="450" w:hRule="atLeast"/>
          <w:tblHeader w:val="0"/>
        </w:trPr>
        <w:tc>
          <w:tcPr>
            <w:shd w:fill="d9e1f3"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shd w:fill="d9e1f3"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TAREA</w:t>
            </w:r>
          </w:p>
        </w:tc>
        <w:tc>
          <w:tcPr>
            <w:shd w:fill="d9e1f3"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c>
          <w:tcPr>
            <w:shd w:fill="d9e1f3"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ENTREGA</w:t>
            </w:r>
          </w:p>
        </w:tc>
      </w:tr>
      <w:tr>
        <w:trPr>
          <w:cantSplit w:val="0"/>
          <w:trHeight w:val="63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Reenviar el pedido de integración al proveedor responsable de la herramienta.</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Grupo Sambal Ctg S.a.s.</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Revisar el video de la campaña de Casual enviado por el equipo de marketing.</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Grupo Sambal Ctg S.a.s.</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2"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Consultar la propuesta inicial para confirmar si el desarrollo web de Casual está incluido.</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Grupo Sambal Ctg S.a.s.</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CierreH">
      <w:r>
        <w:t>CIERRE DE LA REUNIÓN</w:t>
      </w:r>
    </w:p>
    <w:p w:rsidR="00000000" w:rsidDel="00000000" w:rsidP="00000000" w:rsidRDefault="00000000" w:rsidRPr="00000000" w14:paraId="0000CierreB">
      <w:r>
        <w:t xml:space="preserve">Se acordó desactivar la campaña de WhatsApp y redirigir el tráfico hacia el enlace de reservas. Se planea iniciar una pauta en la ficha de Google My Business para complementar la estrategia de Meta y mejorar la adquisición de clientes. La próxima reunión se llevará a cabo según se acuerde con el cliente.</w:t>
      </w:r>
    </w:p>
    <w:sectPr>
      <w:headerReference r:id="rId7" w:type="default"/>
      <w:pgSz w:h="16840" w:w="11910" w:orient="portrait"/>
      <w:pgMar w:bottom="1984" w:top="2551" w:left="1417" w:right="1417" w:header="8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7255" cy="1554293"/>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7255" cy="15542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
    </w:pPr>
    <w:rPr>
      <w:b w:val="1"/>
      <w:bCs w:val="1"/>
    </w:rPr>
  </w:style>
  <w:style w:type="paragraph" w:styleId="Heading2">
    <w:name w:val="heading 2"/>
    <w:basedOn w:val="Normal"/>
    <w:next w:val="Normal"/>
    <w:pPr>
      <w:widowControl w:val="1"/>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2026-06-19T01:23:23Z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2025-05-07T00:00:00Z</vt:lpwstr>
  </property>
  <property fmtid="{D5CDD505-2E9C-101B-9397-08002B2CF9AE}" pid="3" name="Creator">
    <vt:lpwstr>Microsoft® Word para Microsoft 365</vt:lpwstr>
  </property>
  <property fmtid="{D5CDD505-2E9C-101B-9397-08002B2CF9AE}" pid="4" name="LastSaved">
    <vt:lpwstr>2025-06-16T00:00:00Z</vt:lpwstr>
  </property>
  <property fmtid="{D5CDD505-2E9C-101B-9397-08002B2CF9AE}" pid="5" name="Producer">
    <vt:lpwstr>Microsoft® Word para Microsoft 365</vt:lpwstr>
  </property>
</Properties>
</file>