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3D85" w:rsidP="00A07B1F" w:rsidRDefault="00A07B1F" w14:paraId="0681FE72" w14:textId="4B67512B">
      <w:pPr>
        <w:jc w:val="center"/>
        <w:rPr>
          <w:sz w:val="28"/>
          <w:szCs w:val="28"/>
        </w:rPr>
      </w:pPr>
      <w:r w:rsidRPr="00A07B1F">
        <w:rPr>
          <w:sz w:val="28"/>
          <w:szCs w:val="28"/>
        </w:rPr>
        <w:t>Transmission Expansion and Reliability in Peru’s Energy Transition: A System Dynamics Approach</w:t>
      </w:r>
    </w:p>
    <w:p w:rsidR="00A07B1F" w:rsidP="00A07B1F" w:rsidRDefault="00A07B1F" w14:paraId="60C356F5" w14:textId="77777777">
      <w:pPr>
        <w:jc w:val="center"/>
        <w:rPr>
          <w:sz w:val="28"/>
          <w:szCs w:val="28"/>
        </w:rPr>
      </w:pPr>
    </w:p>
    <w:p w:rsidR="00A07B1F" w:rsidP="00A07B1F" w:rsidRDefault="00A07B1F" w14:paraId="3182051B" w14:textId="7956FF54">
      <w:pPr>
        <w:jc w:val="both"/>
        <w:rPr>
          <w:sz w:val="28"/>
          <w:szCs w:val="28"/>
        </w:rPr>
      </w:pPr>
      <w:r>
        <w:rPr>
          <w:sz w:val="28"/>
          <w:szCs w:val="28"/>
        </w:rPr>
        <w:t>Abstract:</w:t>
      </w:r>
    </w:p>
    <w:p w:rsidR="00A07B1F" w:rsidP="00A07B1F" w:rsidRDefault="00A07B1F" w14:paraId="593504B2" w14:textId="7680F9E7">
      <w:pPr>
        <w:jc w:val="both"/>
        <w:rPr>
          <w:sz w:val="28"/>
          <w:szCs w:val="28"/>
        </w:rPr>
      </w:pPr>
      <w:r>
        <w:rPr>
          <w:sz w:val="28"/>
          <w:szCs w:val="28"/>
        </w:rPr>
        <w:t>Key words:</w:t>
      </w:r>
    </w:p>
    <w:p w:rsidR="00A07B1F" w:rsidP="00A07B1F" w:rsidRDefault="00A07B1F" w14:paraId="7D637AF4" w14:textId="0DE9A792">
      <w:pPr>
        <w:pStyle w:val="ListParagraph"/>
        <w:numPr>
          <w:ilvl w:val="0"/>
          <w:numId w:val="1"/>
        </w:numPr>
        <w:jc w:val="both"/>
        <w:rPr>
          <w:sz w:val="28"/>
          <w:szCs w:val="28"/>
        </w:rPr>
      </w:pPr>
      <w:r>
        <w:rPr>
          <w:sz w:val="28"/>
          <w:szCs w:val="28"/>
        </w:rPr>
        <w:t>Introduction</w:t>
      </w:r>
    </w:p>
    <w:p w:rsidR="00A07B1F" w:rsidP="00A07B1F" w:rsidRDefault="00A07B1F" w14:paraId="218698AD" w14:textId="38E998A8">
      <w:pPr>
        <w:pStyle w:val="ListParagraph"/>
        <w:jc w:val="both"/>
        <w:rPr>
          <w:sz w:val="28"/>
          <w:szCs w:val="28"/>
        </w:rPr>
      </w:pPr>
      <w:r>
        <w:rPr>
          <w:sz w:val="28"/>
          <w:szCs w:val="28"/>
        </w:rPr>
        <w:t>Sebastián</w:t>
      </w:r>
    </w:p>
    <w:p w:rsidRPr="00A07B1F" w:rsidR="00A07B1F" w:rsidP="00A07B1F" w:rsidRDefault="00A07B1F" w14:paraId="273B3CF0" w14:textId="1757EFC6">
      <w:pPr>
        <w:pStyle w:val="ListParagraph"/>
        <w:numPr>
          <w:ilvl w:val="0"/>
          <w:numId w:val="1"/>
        </w:numPr>
        <w:jc w:val="both"/>
        <w:rPr>
          <w:sz w:val="28"/>
          <w:szCs w:val="28"/>
        </w:rPr>
      </w:pPr>
      <w:r>
        <w:t>Literature Review</w:t>
      </w:r>
    </w:p>
    <w:p w:rsidR="00A07B1F" w:rsidP="00A07B1F" w:rsidRDefault="00A07B1F" w14:paraId="46ECB053" w14:textId="28358583">
      <w:pPr>
        <w:ind w:left="720"/>
        <w:jc w:val="both"/>
      </w:pPr>
      <w:r>
        <w:rPr>
          <w:sz w:val="28"/>
          <w:szCs w:val="28"/>
        </w:rPr>
        <w:t xml:space="preserve">2.1. </w:t>
      </w:r>
      <w:r>
        <w:t>Transmission planning under energy transition</w:t>
      </w:r>
    </w:p>
    <w:p w:rsidR="00A07B1F" w:rsidP="00A07B1F" w:rsidRDefault="00A07B1F" w14:paraId="387CD517" w14:textId="1178787C">
      <w:pPr>
        <w:ind w:left="720"/>
        <w:jc w:val="both"/>
      </w:pPr>
      <w:r>
        <w:t xml:space="preserve">2.2. </w:t>
      </w:r>
      <w:r>
        <w:t>Infrastructure delays and power system reliability</w:t>
      </w:r>
    </w:p>
    <w:p w:rsidR="00A07B1F" w:rsidP="00A07B1F" w:rsidRDefault="00A07B1F" w14:paraId="6F274B46" w14:textId="7CDDE5B2">
      <w:pPr>
        <w:ind w:left="720"/>
        <w:jc w:val="both"/>
      </w:pPr>
      <w:r>
        <w:t xml:space="preserve">2.3. </w:t>
      </w:r>
      <w:r>
        <w:t>Renewable integration and grid expansion in emerging economies</w:t>
      </w:r>
    </w:p>
    <w:p w:rsidR="00A07B1F" w:rsidP="00A07B1F" w:rsidRDefault="00A07B1F" w14:paraId="6329CE93" w14:textId="407FBB0E">
      <w:pPr>
        <w:ind w:left="720"/>
        <w:jc w:val="both"/>
      </w:pPr>
      <w:r>
        <w:t xml:space="preserve">2.4. </w:t>
      </w:r>
      <w:r>
        <w:t>System dynamics in energy planning</w:t>
      </w:r>
    </w:p>
    <w:p w:rsidR="00A07B1F" w:rsidP="00A07B1F" w:rsidRDefault="00A07B1F" w14:paraId="53B23185" w14:textId="108471E6">
      <w:pPr>
        <w:ind w:left="720"/>
        <w:jc w:val="both"/>
      </w:pPr>
      <w:r>
        <w:t xml:space="preserve">2.5. </w:t>
      </w:r>
      <w:r>
        <w:t>Latin American and Peruvian electricity system studies</w:t>
      </w:r>
    </w:p>
    <w:p w:rsidR="00A07B1F" w:rsidP="00A07B1F" w:rsidRDefault="00A07B1F" w14:paraId="02A519AA" w14:textId="539D7365">
      <w:pPr>
        <w:ind w:left="720"/>
        <w:jc w:val="both"/>
      </w:pPr>
      <w:r>
        <w:t xml:space="preserve">2.6. </w:t>
      </w:r>
      <w:r>
        <w:t>Research gap and positioning of the paper</w:t>
      </w:r>
    </w:p>
    <w:p w:rsidR="00A07B1F" w:rsidP="00A07B1F" w:rsidRDefault="00A07B1F" w14:paraId="69DCDDB9" w14:textId="16A70747">
      <w:pPr>
        <w:jc w:val="both"/>
      </w:pPr>
      <w:r>
        <w:tab/>
      </w:r>
    </w:p>
    <w:p w:rsidRPr="00A07B1F" w:rsidR="00A07B1F" w:rsidP="00A07B1F" w:rsidRDefault="00A07B1F" w14:paraId="2C2B0654" w14:textId="1791AF2E">
      <w:pPr>
        <w:pStyle w:val="ListParagraph"/>
        <w:numPr>
          <w:ilvl w:val="0"/>
          <w:numId w:val="1"/>
        </w:numPr>
        <w:jc w:val="both"/>
        <w:rPr>
          <w:sz w:val="28"/>
          <w:szCs w:val="28"/>
        </w:rPr>
      </w:pPr>
      <w:r w:rsidR="7458332A">
        <w:rPr/>
        <w:t>Peruvian Power System Background</w:t>
      </w:r>
    </w:p>
    <w:p w:rsidR="00A07B1F" w:rsidP="00A07B1F" w:rsidRDefault="00A07B1F" w14:paraId="372F1C64" w14:textId="2E7F73D6">
      <w:pPr>
        <w:pStyle w:val="ListParagraph"/>
        <w:jc w:val="both"/>
      </w:pPr>
      <w:r w:rsidR="7458332A">
        <w:rPr/>
        <w:t>3.1. Overview of the Peruvian electricity system</w:t>
      </w:r>
    </w:p>
    <w:p w:rsidR="7458332A" w:rsidP="7458332A" w:rsidRDefault="7458332A" w14:paraId="20452E59" w14:textId="17E6044E">
      <w:pPr>
        <w:pStyle w:val="ListParagraph"/>
        <w:suppressLineNumbers w:val="0"/>
        <w:bidi w:val="0"/>
        <w:spacing w:before="0" w:beforeAutospacing="off" w:after="160" w:afterAutospacing="off" w:line="278" w:lineRule="auto"/>
        <w:ind w:left="720" w:right="0"/>
        <w:jc w:val="both"/>
      </w:pPr>
      <w:r w:rsidRPr="7458332A" w:rsidR="7458332A">
        <w:rPr>
          <w:lang w:val="en-US"/>
        </w:rPr>
        <w:t xml:space="preserve">During the late 1980s, Peru's power sector was in crisis due to a broader macroeconomic collapse and poor performing utilities. Because of this, Peru transitioned from being an integrated state system to a competitive wholesale market with marginal nodal prices, payments based on capacity and bilateral contracts; which </w:t>
      </w:r>
      <w:r w:rsidRPr="7458332A" w:rsidR="7458332A">
        <w:rPr>
          <w:lang w:val="en-US"/>
        </w:rPr>
        <w:t>permitted</w:t>
      </w:r>
      <w:r w:rsidRPr="7458332A" w:rsidR="7458332A">
        <w:rPr>
          <w:lang w:val="en-US"/>
        </w:rPr>
        <w:t xml:space="preserve"> an increase in efficiency, new installed capacity as well as a safer supply capacity (Rudnick &amp; Velásquez, 2019).</w:t>
      </w:r>
    </w:p>
    <w:p w:rsidR="7458332A" w:rsidP="7458332A" w:rsidRDefault="7458332A" w14:paraId="6F6E4EAA" w14:textId="008B6B4A">
      <w:pPr>
        <w:pStyle w:val="ListParagraph"/>
        <w:suppressLineNumbers w:val="0"/>
        <w:bidi w:val="0"/>
        <w:spacing w:before="0" w:beforeAutospacing="off" w:after="160" w:afterAutospacing="off" w:line="278" w:lineRule="auto"/>
        <w:ind w:left="720" w:right="0"/>
        <w:jc w:val="both"/>
        <w:rPr>
          <w:lang w:val="en-US"/>
        </w:rPr>
      </w:pPr>
    </w:p>
    <w:p w:rsidR="7458332A" w:rsidP="7458332A" w:rsidRDefault="7458332A" w14:paraId="32E783ED" w14:textId="7AC99D0B">
      <w:pPr>
        <w:pStyle w:val="ListParagraph"/>
        <w:suppressLineNumbers w:val="0"/>
        <w:bidi w:val="0"/>
        <w:spacing w:before="0" w:beforeAutospacing="off" w:after="160" w:afterAutospacing="off" w:line="278" w:lineRule="auto"/>
        <w:ind w:left="720" w:right="0"/>
        <w:jc w:val="both"/>
        <w:rPr>
          <w:lang w:val="en-US"/>
        </w:rPr>
      </w:pPr>
      <w:r w:rsidRPr="7458332A" w:rsidR="7458332A">
        <w:rPr>
          <w:lang w:val="en-US"/>
        </w:rPr>
        <w:t>The “</w:t>
      </w:r>
      <w:r w:rsidRPr="7458332A" w:rsidR="7458332A">
        <w:rPr>
          <w:noProof w:val="0"/>
          <w:color w:val="000000" w:themeColor="text1" w:themeTint="FF" w:themeShade="FF"/>
          <w:lang w:val="en-US"/>
        </w:rPr>
        <w:t xml:space="preserve">Electric Concessions Law” from 1992 segmented what was previously 3 parts of one single chain, the electric sector, into generation, </w:t>
      </w:r>
      <w:r w:rsidRPr="7458332A" w:rsidR="7458332A">
        <w:rPr>
          <w:noProof w:val="0"/>
          <w:color w:val="000000" w:themeColor="text1" w:themeTint="FF" w:themeShade="FF"/>
          <w:lang w:val="en-US"/>
        </w:rPr>
        <w:t>transmission</w:t>
      </w:r>
      <w:r w:rsidRPr="7458332A" w:rsidR="7458332A">
        <w:rPr>
          <w:noProof w:val="0"/>
          <w:color w:val="000000" w:themeColor="text1" w:themeTint="FF" w:themeShade="FF"/>
          <w:lang w:val="en-US"/>
        </w:rPr>
        <w:t xml:space="preserve"> and distribution, which allowed private investments to permeate the sector. The </w:t>
      </w:r>
      <w:r w:rsidRPr="7458332A" w:rsidR="7458332A">
        <w:rPr>
          <w:noProof w:val="0"/>
          <w:color w:val="000000" w:themeColor="text1" w:themeTint="FF" w:themeShade="FF"/>
          <w:lang w:val="en-US"/>
        </w:rPr>
        <w:t>subsequent</w:t>
      </w:r>
      <w:r w:rsidRPr="7458332A" w:rsidR="7458332A">
        <w:rPr>
          <w:noProof w:val="0"/>
          <w:color w:val="000000" w:themeColor="text1" w:themeTint="FF" w:themeShade="FF"/>
          <w:lang w:val="en-US"/>
        </w:rPr>
        <w:t xml:space="preserve"> wave of reforms, including the supply auctions since 2006, allowed the consolidation of productivity earnings, especially in distribution, where there are clear efficiency improvements after the market restructuring (Pérez-Reyes &amp; Tovar, 2009). However, some challenges persist in state companies, and in rural coverage.</w:t>
      </w:r>
    </w:p>
    <w:p w:rsidR="7458332A" w:rsidP="7458332A" w:rsidRDefault="7458332A" w14:paraId="3095FC29" w14:textId="324AC2FC">
      <w:pPr>
        <w:pStyle w:val="ListParagraph"/>
        <w:suppressLineNumbers w:val="0"/>
        <w:bidi w:val="0"/>
        <w:spacing w:before="0" w:beforeAutospacing="off" w:after="160" w:afterAutospacing="off" w:line="278" w:lineRule="auto"/>
        <w:ind w:left="720" w:right="0"/>
        <w:jc w:val="both"/>
        <w:rPr>
          <w:noProof w:val="0"/>
          <w:color w:val="000000" w:themeColor="text1" w:themeTint="FF" w:themeShade="FF"/>
          <w:lang w:val="en-US"/>
        </w:rPr>
      </w:pPr>
    </w:p>
    <w:p w:rsidR="00A07B1F" w:rsidP="00A07B1F" w:rsidRDefault="00A07B1F" w14:paraId="38F839DB" w14:textId="2637D950">
      <w:pPr>
        <w:pStyle w:val="ListParagraph"/>
        <w:jc w:val="both"/>
      </w:pPr>
      <w:r w:rsidR="7458332A">
        <w:rPr/>
        <w:t>3.2. Generation mix and dependence on thermal generation</w:t>
      </w:r>
    </w:p>
    <w:p w:rsidR="7458332A" w:rsidP="7458332A" w:rsidRDefault="7458332A" w14:paraId="0DB22A77" w14:textId="2364E8C1">
      <w:pPr>
        <w:pStyle w:val="ListParagraph"/>
        <w:suppressLineNumbers w:val="0"/>
        <w:bidi w:val="0"/>
        <w:spacing w:before="0" w:beforeAutospacing="off" w:after="160" w:afterAutospacing="off" w:line="278" w:lineRule="auto"/>
        <w:ind w:left="720" w:right="0"/>
        <w:jc w:val="both"/>
        <w:rPr>
          <w:vertAlign w:val="baseline"/>
          <w:lang w:val="en-US"/>
        </w:rPr>
      </w:pPr>
      <w:r w:rsidRPr="7458332A" w:rsidR="7458332A">
        <w:rPr>
          <w:lang w:val="en-US"/>
        </w:rPr>
        <w:t xml:space="preserve">Peru's generation matrix is dominated by hydropower and natural gas-based thermal generation. By 2015, major generation technologies were </w:t>
      </w:r>
      <w:r w:rsidRPr="7458332A" w:rsidR="7458332A">
        <w:rPr>
          <w:lang w:val="en-US"/>
        </w:rPr>
        <w:t>roughly 50%</w:t>
      </w:r>
      <w:r w:rsidRPr="7458332A" w:rsidR="7458332A">
        <w:rPr>
          <w:lang w:val="en-US"/>
        </w:rPr>
        <w:t xml:space="preserve"> hydro and 45% natural gas, with thermal sources overall — gas, </w:t>
      </w:r>
      <w:r w:rsidRPr="7458332A" w:rsidR="7458332A">
        <w:rPr>
          <w:lang w:val="en-US"/>
        </w:rPr>
        <w:t>coal</w:t>
      </w:r>
      <w:r w:rsidRPr="7458332A" w:rsidR="7458332A">
        <w:rPr>
          <w:lang w:val="en-US"/>
        </w:rPr>
        <w:t xml:space="preserve"> and oil — accounting for approximately 41% of generation by 2017 (Rudnick &amp; Velásquez, 2019). This gas dependence is structural: over half of </w:t>
      </w:r>
      <w:r w:rsidRPr="7458332A" w:rsidR="7458332A">
        <w:rPr>
          <w:lang w:val="en-US"/>
        </w:rPr>
        <w:t>all-natural</w:t>
      </w:r>
      <w:r w:rsidRPr="7458332A" w:rsidR="7458332A">
        <w:rPr>
          <w:lang w:val="en-US"/>
        </w:rPr>
        <w:t xml:space="preserve"> gas consumed in the country goes to power plants (</w:t>
      </w:r>
      <w:r w:rsidRPr="7458332A" w:rsidR="7458332A">
        <w:rPr>
          <w:lang w:val="en-US"/>
        </w:rPr>
        <w:t>Enerdata</w:t>
      </w:r>
      <w:r w:rsidRPr="7458332A" w:rsidR="7458332A">
        <w:rPr>
          <w:lang w:val="en-US"/>
        </w:rPr>
        <w:t>, 2024), making the electricity sector the primary driver of gas demand and thus highly exposed to price shocks or supply disruptions.</w:t>
      </w:r>
    </w:p>
    <w:p w:rsidR="7458332A" w:rsidP="7458332A" w:rsidRDefault="7458332A" w14:paraId="02BF2717" w14:textId="03A337E3">
      <w:pPr>
        <w:pStyle w:val="ListParagraph"/>
        <w:suppressLineNumbers w:val="0"/>
        <w:bidi w:val="0"/>
        <w:spacing w:before="0" w:beforeAutospacing="off" w:after="160" w:afterAutospacing="off" w:line="278" w:lineRule="auto"/>
        <w:ind w:left="720" w:right="0"/>
        <w:jc w:val="both"/>
        <w:rPr>
          <w:lang w:val="en-US"/>
        </w:rPr>
      </w:pPr>
    </w:p>
    <w:p w:rsidR="7458332A" w:rsidP="7458332A" w:rsidRDefault="7458332A" w14:paraId="279A5324" w14:textId="128A6241">
      <w:pPr>
        <w:pStyle w:val="ListParagraph"/>
        <w:bidi w:val="0"/>
        <w:spacing w:before="0" w:beforeAutospacing="off" w:after="160" w:afterAutospacing="off" w:line="278" w:lineRule="auto"/>
        <w:ind w:left="720" w:right="0"/>
        <w:jc w:val="both"/>
      </w:pPr>
      <w:r w:rsidRPr="7458332A" w:rsidR="7458332A">
        <w:rPr>
          <w:lang w:val="en-US"/>
        </w:rPr>
        <w:t>Despite the high potential in renewable energies such as solar, wind, geothermal, biomass and hydroelectric, non-hydro renewables have remained marginal: wind, solar and biomass jointly contributed only 2.8% of net generation in 2017 (Rudnick &amp; Velásquez, 2019), and by 2022 only around 5% of electrical generation came from non-conventional renewable sources (</w:t>
      </w:r>
      <w:r w:rsidRPr="7458332A" w:rsidR="7458332A">
        <w:rPr>
          <w:lang w:val="en-US"/>
        </w:rPr>
        <w:t>Campodónico</w:t>
      </w:r>
      <w:r w:rsidRPr="7458332A" w:rsidR="7458332A">
        <w:rPr>
          <w:lang w:val="en-US"/>
        </w:rPr>
        <w:t xml:space="preserve"> &amp; Carrera, 2022). While there have been some advances diversifying with solar photovoltaic (PV), wind, biomass, and small hydroelectric plants, the thermal dependence on natural gas </w:t>
      </w:r>
      <w:r w:rsidRPr="7458332A" w:rsidR="7458332A">
        <w:rPr>
          <w:lang w:val="en-US"/>
        </w:rPr>
        <w:t>remains</w:t>
      </w:r>
      <w:r w:rsidRPr="7458332A" w:rsidR="7458332A">
        <w:rPr>
          <w:lang w:val="en-US"/>
        </w:rPr>
        <w:t xml:space="preserve"> the defining structural feature of the matrix.</w:t>
      </w:r>
    </w:p>
    <w:p w:rsidR="7458332A" w:rsidP="7458332A" w:rsidRDefault="7458332A" w14:paraId="7B5041A3" w14:textId="635A01D1">
      <w:pPr>
        <w:pStyle w:val="ListParagraph"/>
        <w:bidi w:val="0"/>
        <w:spacing w:before="0" w:beforeAutospacing="off" w:after="160" w:afterAutospacing="off" w:line="278" w:lineRule="auto"/>
        <w:ind w:left="720" w:right="0"/>
        <w:jc w:val="both"/>
        <w:rPr>
          <w:lang w:val="en-US"/>
        </w:rPr>
      </w:pPr>
    </w:p>
    <w:p w:rsidR="00A07B1F" w:rsidP="00A07B1F" w:rsidRDefault="00A07B1F" w14:paraId="3F8CB183" w14:textId="37F94930">
      <w:pPr>
        <w:pStyle w:val="ListParagraph"/>
        <w:jc w:val="both"/>
      </w:pPr>
      <w:r w:rsidR="7458332A">
        <w:rPr/>
        <w:t>3.3. Renewable energy expansion potential</w:t>
      </w:r>
    </w:p>
    <w:p w:rsidR="7458332A" w:rsidP="7458332A" w:rsidRDefault="7458332A" w14:paraId="36BA979D" w14:textId="66411B05">
      <w:pPr>
        <w:pStyle w:val="ListParagraph"/>
        <w:bidi w:val="0"/>
        <w:spacing w:before="0" w:beforeAutospacing="off" w:after="160" w:afterAutospacing="off" w:line="278" w:lineRule="auto"/>
        <w:ind w:left="720" w:right="0"/>
        <w:jc w:val="both"/>
        <w:rPr>
          <w:vertAlign w:val="baseline"/>
          <w:lang w:val="en-US"/>
        </w:rPr>
      </w:pPr>
      <w:r w:rsidRPr="7458332A" w:rsidR="7458332A">
        <w:rPr>
          <w:lang w:val="en-US"/>
        </w:rPr>
        <w:t>Peru's resource base for renewable energy is substantial — solar radiation, coastal and highland wind, geothermal activity, biomass, and hydroelectric potential are all present in significant measure — yet little of this has been converted into actual generation capacity. Modeling work by Fiestas-Chevez et al. (2024) suggests that bringing non-conventional renewables to 28.26% of the matrix would cut gas consumption by 2.04 km³ and avoid 4.99 MtCO₂-eq annually, while reducing overall system costs. Longer-range scenarios to 2050 point in the same direction: prioritizing renewable integration alongside transmission and distribution efficiency improvements produces significantly lower emissions than the baseline trajectory (De La Cruz Torres et al., 2024). The economic and environmental case, in other words, is reasonably well established.</w:t>
      </w:r>
    </w:p>
    <w:p w:rsidR="7458332A" w:rsidP="7458332A" w:rsidRDefault="7458332A" w14:paraId="393DD0A1" w14:textId="065A9304">
      <w:pPr>
        <w:pStyle w:val="ListParagraph"/>
        <w:bidi w:val="0"/>
        <w:spacing w:before="0" w:beforeAutospacing="off" w:after="160" w:afterAutospacing="off" w:line="278" w:lineRule="auto"/>
        <w:ind w:left="720" w:right="0"/>
        <w:jc w:val="both"/>
        <w:rPr>
          <w:lang w:val="en-US"/>
        </w:rPr>
      </w:pPr>
    </w:p>
    <w:p w:rsidR="7458332A" w:rsidP="7458332A" w:rsidRDefault="7458332A" w14:paraId="1F09FED3" w14:textId="4926EEE9">
      <w:pPr>
        <w:pStyle w:val="ListParagraph"/>
        <w:bidi w:val="0"/>
        <w:spacing w:before="0" w:beforeAutospacing="off" w:after="160" w:afterAutospacing="off" w:line="278" w:lineRule="auto"/>
        <w:ind w:left="720" w:right="0"/>
        <w:jc w:val="both"/>
      </w:pPr>
      <w:r w:rsidRPr="7458332A" w:rsidR="7458332A">
        <w:rPr>
          <w:lang w:val="en-US"/>
        </w:rPr>
        <w:t xml:space="preserve">What is less clear is how to get there. The auction mechanism that for over a decade provided a structured channel for renewable investment has been suspended, leaving developers without a reliable off-take signal and </w:t>
      </w:r>
      <w:r w:rsidRPr="7458332A" w:rsidR="7458332A">
        <w:rPr>
          <w:lang w:val="en-US"/>
        </w:rPr>
        <w:t>largely on</w:t>
      </w:r>
      <w:r w:rsidRPr="7458332A" w:rsidR="7458332A">
        <w:rPr>
          <w:lang w:val="en-US"/>
        </w:rPr>
        <w:t xml:space="preserve"> the sidelines (</w:t>
      </w:r>
      <w:r w:rsidRPr="7458332A" w:rsidR="7458332A">
        <w:rPr>
          <w:lang w:val="en-US"/>
        </w:rPr>
        <w:t>Campodónico</w:t>
      </w:r>
      <w:r w:rsidRPr="7458332A" w:rsidR="7458332A">
        <w:rPr>
          <w:lang w:val="en-US"/>
        </w:rPr>
        <w:t xml:space="preserve"> &amp; Carrera, 2022). The broader context makes this harder: excess installed capacity depresses wholesale prices, economic growth has slowed, and the regulatory framework is fragmented across institutions with overlapping mandates — none of which can fix the problem alone (</w:t>
      </w:r>
      <w:r w:rsidRPr="7458332A" w:rsidR="7458332A">
        <w:rPr>
          <w:lang w:val="en-US"/>
        </w:rPr>
        <w:t>Campodónico</w:t>
      </w:r>
      <w:r w:rsidRPr="7458332A" w:rsidR="7458332A">
        <w:rPr>
          <w:lang w:val="en-US"/>
        </w:rPr>
        <w:t xml:space="preserve"> &amp; Carrera, 2022). On top of that, the grid was not built with variable renewables in mind, and the mismatch between where the best resources are and where demand is concentrated </w:t>
      </w:r>
      <w:r w:rsidRPr="7458332A" w:rsidR="7458332A">
        <w:rPr>
          <w:lang w:val="en-US"/>
        </w:rPr>
        <w:t>remains</w:t>
      </w:r>
      <w:r w:rsidRPr="7458332A" w:rsidR="7458332A">
        <w:rPr>
          <w:lang w:val="en-US"/>
        </w:rPr>
        <w:t xml:space="preserve"> an unresolved physical constraint (Torres, 2026).</w:t>
      </w:r>
    </w:p>
    <w:p w:rsidR="7458332A" w:rsidP="7458332A" w:rsidRDefault="7458332A" w14:paraId="2F9BA964" w14:textId="5A19B61D">
      <w:pPr>
        <w:pStyle w:val="ListParagraph"/>
        <w:bidi w:val="0"/>
        <w:spacing w:before="0" w:beforeAutospacing="off" w:after="160" w:afterAutospacing="off" w:line="278" w:lineRule="auto"/>
        <w:ind w:left="720" w:right="0"/>
        <w:jc w:val="both"/>
        <w:rPr>
          <w:vertAlign w:val="baseline"/>
          <w:lang w:val="en-US"/>
        </w:rPr>
      </w:pPr>
    </w:p>
    <w:p w:rsidR="00A07B1F" w:rsidP="00A07B1F" w:rsidRDefault="00A07B1F" w14:paraId="6E427374" w14:textId="0EF7DCC8">
      <w:pPr>
        <w:pStyle w:val="ListParagraph"/>
        <w:jc w:val="both"/>
      </w:pPr>
      <w:r w:rsidR="7458332A">
        <w:rPr/>
        <w:t>3.4. Transmission corridors and regional interconnection needs</w:t>
      </w:r>
    </w:p>
    <w:p w:rsidR="7458332A" w:rsidP="7458332A" w:rsidRDefault="7458332A" w14:paraId="727C471E" w14:textId="769C8E4C">
      <w:pPr>
        <w:pStyle w:val="ListParagraph"/>
        <w:jc w:val="both"/>
      </w:pPr>
      <w:r w:rsidRPr="7458332A" w:rsidR="7458332A">
        <w:rPr>
          <w:lang w:val="en-US"/>
        </w:rPr>
        <w:t xml:space="preserve">Transmission infrastructure </w:t>
      </w:r>
      <w:r w:rsidRPr="7458332A" w:rsidR="7458332A">
        <w:rPr>
          <w:lang w:val="en-US"/>
        </w:rPr>
        <w:t>represents</w:t>
      </w:r>
      <w:r w:rsidRPr="7458332A" w:rsidR="7458332A">
        <w:rPr>
          <w:lang w:val="en-US"/>
        </w:rPr>
        <w:t xml:space="preserve"> both a current bottleneck and a strategic lever for Peru’s energy transition. Within the national system, congestion management has become more sophisticated with strategies such as n-1 </w:t>
      </w:r>
      <w:r w:rsidRPr="7458332A" w:rsidR="7458332A">
        <w:rPr>
          <w:lang w:val="en-US"/>
        </w:rPr>
        <w:t>contiency</w:t>
      </w:r>
      <w:r w:rsidRPr="7458332A" w:rsidR="7458332A">
        <w:rPr>
          <w:lang w:val="en-US"/>
        </w:rPr>
        <w:t xml:space="preserve"> scenarios as </w:t>
      </w:r>
      <w:r w:rsidRPr="7458332A" w:rsidR="7458332A">
        <w:rPr>
          <w:lang w:val="en-US"/>
        </w:rPr>
        <w:t>longside</w:t>
      </w:r>
      <w:r w:rsidRPr="7458332A" w:rsidR="7458332A">
        <w:rPr>
          <w:lang w:val="en-US"/>
        </w:rPr>
        <w:t xml:space="preserve"> projections for demand, </w:t>
      </w:r>
      <w:r w:rsidRPr="7458332A" w:rsidR="7458332A">
        <w:rPr>
          <w:lang w:val="en-US"/>
        </w:rPr>
        <w:t>reneration</w:t>
      </w:r>
      <w:r w:rsidRPr="7458332A" w:rsidR="7458332A">
        <w:rPr>
          <w:lang w:val="en-US"/>
        </w:rPr>
        <w:t xml:space="preserve">, fuel-price and weather projections, enabling preventive or early detection of long-term congestion points </w:t>
      </w:r>
      <w:r w:rsidRPr="7458332A" w:rsidR="7458332A">
        <w:rPr>
          <w:lang w:val="en-US"/>
        </w:rPr>
        <w:t>ans</w:t>
      </w:r>
      <w:r w:rsidRPr="7458332A" w:rsidR="7458332A">
        <w:rPr>
          <w:lang w:val="en-US"/>
        </w:rPr>
        <w:t xml:space="preserve"> supporting a more efficient and sustainable network that can better accommodate renewable sources while reducing operational costs (Valdivia et al., 2024).</w:t>
      </w:r>
    </w:p>
    <w:p w:rsidR="7458332A" w:rsidP="7458332A" w:rsidRDefault="7458332A" w14:paraId="145C5FFD" w14:textId="118011AC">
      <w:pPr>
        <w:pStyle w:val="ListParagraph"/>
        <w:jc w:val="both"/>
        <w:rPr>
          <w:lang w:val="en-US"/>
        </w:rPr>
      </w:pPr>
    </w:p>
    <w:p w:rsidR="7458332A" w:rsidP="7458332A" w:rsidRDefault="7458332A" w14:paraId="23781906" w14:textId="1E130807">
      <w:pPr>
        <w:pStyle w:val="ListParagraph"/>
        <w:jc w:val="both"/>
        <w:rPr>
          <w:lang w:val="en-US"/>
        </w:rPr>
      </w:pPr>
      <w:r w:rsidRPr="7458332A" w:rsidR="7458332A">
        <w:rPr>
          <w:lang w:val="en-US"/>
        </w:rPr>
        <w:t xml:space="preserve">At the regional level, analyses of the Andean interconnection </w:t>
      </w:r>
      <w:r w:rsidRPr="7458332A" w:rsidR="7458332A">
        <w:rPr>
          <w:lang w:val="en-US"/>
        </w:rPr>
        <w:t>indicate</w:t>
      </w:r>
      <w:r w:rsidRPr="7458332A" w:rsidR="7458332A">
        <w:rPr>
          <w:lang w:val="en-US"/>
        </w:rPr>
        <w:t xml:space="preserve"> that technically and economically </w:t>
      </w:r>
      <w:r w:rsidRPr="7458332A" w:rsidR="7458332A">
        <w:rPr>
          <w:lang w:val="en-US"/>
        </w:rPr>
        <w:t>feasible</w:t>
      </w:r>
      <w:r w:rsidRPr="7458332A" w:rsidR="7458332A">
        <w:rPr>
          <w:lang w:val="en-US"/>
        </w:rPr>
        <w:t xml:space="preserve"> links among Bolivia, Chile, Colombia, </w:t>
      </w:r>
      <w:r w:rsidRPr="7458332A" w:rsidR="7458332A">
        <w:rPr>
          <w:lang w:val="en-US"/>
        </w:rPr>
        <w:t>Ecuador</w:t>
      </w:r>
      <w:r w:rsidRPr="7458332A" w:rsidR="7458332A">
        <w:rPr>
          <w:lang w:val="en-US"/>
        </w:rPr>
        <w:t xml:space="preserve"> and Peru would generate long-run economic and environmental benefits (Sauma et al., 2011). Nevertheless, these opportunities </w:t>
      </w:r>
      <w:r w:rsidRPr="7458332A" w:rsidR="7458332A">
        <w:rPr>
          <w:lang w:val="en-US"/>
        </w:rPr>
        <w:t>remain</w:t>
      </w:r>
      <w:r w:rsidRPr="7458332A" w:rsidR="7458332A">
        <w:rPr>
          <w:lang w:val="en-US"/>
        </w:rPr>
        <w:t xml:space="preserve"> </w:t>
      </w:r>
      <w:r w:rsidRPr="7458332A" w:rsidR="7458332A">
        <w:rPr>
          <w:lang w:val="en-US"/>
        </w:rPr>
        <w:t>largely unexecuted</w:t>
      </w:r>
      <w:r w:rsidRPr="7458332A" w:rsidR="7458332A">
        <w:rPr>
          <w:lang w:val="en-US"/>
        </w:rPr>
        <w:t xml:space="preserve">. Unlike Central America, which has </w:t>
      </w:r>
      <w:r w:rsidRPr="7458332A" w:rsidR="7458332A">
        <w:rPr>
          <w:noProof w:val="0"/>
          <w:color w:val="000000" w:themeColor="text1" w:themeTint="FF" w:themeShade="FF"/>
          <w:lang w:val="en-US"/>
        </w:rPr>
        <w:t xml:space="preserve">advanced toward a regional electricity market through supranational institutions, the Andean region has stalled primarily due to member states' reluctance to cede regulatory sovereignty, despite the existence of transmission infrastructure that makes integration technically </w:t>
      </w:r>
      <w:r w:rsidRPr="7458332A" w:rsidR="7458332A">
        <w:rPr>
          <w:noProof w:val="0"/>
          <w:color w:val="000000" w:themeColor="text1" w:themeTint="FF" w:themeShade="FF"/>
          <w:lang w:val="en-US"/>
        </w:rPr>
        <w:t>viable</w:t>
      </w:r>
      <w:r w:rsidRPr="7458332A" w:rsidR="7458332A">
        <w:rPr>
          <w:noProof w:val="0"/>
          <w:color w:val="000000" w:themeColor="text1" w:themeTint="FF" w:themeShade="FF"/>
          <w:lang w:val="en-US"/>
        </w:rPr>
        <w:t xml:space="preserve"> (Sempertegui, 2017). The gap between technical feasibility and political will thus </w:t>
      </w:r>
      <w:r w:rsidRPr="7458332A" w:rsidR="7458332A">
        <w:rPr>
          <w:noProof w:val="0"/>
          <w:color w:val="000000" w:themeColor="text1" w:themeTint="FF" w:themeShade="FF"/>
          <w:lang w:val="en-US"/>
        </w:rPr>
        <w:t>constitute</w:t>
      </w:r>
      <w:r w:rsidRPr="7458332A" w:rsidR="7458332A">
        <w:rPr>
          <w:noProof w:val="0"/>
          <w:color w:val="000000" w:themeColor="text1" w:themeTint="FF" w:themeShade="FF"/>
          <w:lang w:val="en-US"/>
        </w:rPr>
        <w:t xml:space="preserve"> the principal barrier to regional interconnection, rather than any engineering constraint.</w:t>
      </w:r>
    </w:p>
    <w:p w:rsidR="7458332A" w:rsidP="7458332A" w:rsidRDefault="7458332A" w14:paraId="0BFF41A3" w14:textId="23FB79C0">
      <w:pPr>
        <w:pStyle w:val="ListParagraph"/>
        <w:jc w:val="both"/>
        <w:rPr>
          <w:noProof w:val="0"/>
          <w:color w:val="000000" w:themeColor="text1" w:themeTint="FF" w:themeShade="FF"/>
          <w:lang w:val="en-US"/>
        </w:rPr>
      </w:pPr>
    </w:p>
    <w:p w:rsidR="00A07B1F" w:rsidP="00A07B1F" w:rsidRDefault="00A07B1F" w14:paraId="777F5FBC" w14:textId="10E8D97F">
      <w:pPr>
        <w:pStyle w:val="ListParagraph"/>
        <w:jc w:val="both"/>
      </w:pPr>
      <w:r w:rsidR="7458332A">
        <w:rPr/>
        <w:t>3.5. Planning challenges and infrastructure delays</w:t>
      </w:r>
    </w:p>
    <w:p w:rsidR="7458332A" w:rsidP="7458332A" w:rsidRDefault="7458332A" w14:paraId="2B12B8FE" w14:textId="2147884F">
      <w:pPr>
        <w:pStyle w:val="ListParagraph"/>
        <w:jc w:val="both"/>
      </w:pPr>
      <w:r w:rsidRPr="7458332A" w:rsidR="7458332A">
        <w:rPr>
          <w:lang w:val="en-US"/>
        </w:rPr>
        <w:t>The gains from Peru's 1990s reform were real but uneven, and over time the limits of the institutional design became apparent. Once the initial wave of privatization ran its course, new investment in generation and transmission slowed considerably — a sign that the regulatory framework was not generating the long-term certainty that infrastructure capital requires (Rudnick &amp; Velásquez, 2021). State-owned distributors have continued to underperform, rural electrification remains incomplete, and the government has periodically intervened outside market mechanisms in ways that distort price signals without any coherent planning logic to justify them (Rudnick &amp; Velásquez, 2021).</w:t>
      </w:r>
    </w:p>
    <w:p w:rsidR="7458332A" w:rsidP="7458332A" w:rsidRDefault="7458332A" w14:paraId="2EE04F5D" w14:textId="25BCECFF">
      <w:pPr>
        <w:pStyle w:val="ListParagraph"/>
        <w:jc w:val="both"/>
        <w:rPr>
          <w:lang w:val="en-US"/>
        </w:rPr>
      </w:pPr>
    </w:p>
    <w:p w:rsidR="7458332A" w:rsidP="7458332A" w:rsidRDefault="7458332A" w14:paraId="5D011380" w14:textId="643EC3EA">
      <w:pPr>
        <w:pStyle w:val="ListParagraph"/>
        <w:jc w:val="both"/>
      </w:pPr>
      <w:r w:rsidRPr="7458332A" w:rsidR="7458332A">
        <w:rPr>
          <w:lang w:val="en-US"/>
        </w:rPr>
        <w:t xml:space="preserve">These shortcomings matter especially now, as the country </w:t>
      </w:r>
      <w:r w:rsidRPr="7458332A" w:rsidR="7458332A">
        <w:rPr>
          <w:lang w:val="en-US"/>
        </w:rPr>
        <w:t>attempts</w:t>
      </w:r>
      <w:r w:rsidRPr="7458332A" w:rsidR="7458332A">
        <w:rPr>
          <w:lang w:val="en-US"/>
        </w:rPr>
        <w:t xml:space="preserve"> to expand its renewable energy base. The suspension of the auction mechanism has hit onshore wind hardest: projects conceived for a structured procurement environment are instead being asked to compete in a spot market under conditions of considerable price uncertainty (Torres, 2026). Beyond the auction problem, wind development faces a more fundamental geographic difficulty — the best wind resources are far from where electricity is </w:t>
      </w:r>
      <w:r w:rsidRPr="7458332A" w:rsidR="7458332A">
        <w:rPr>
          <w:lang w:val="en-US"/>
        </w:rPr>
        <w:t>consumed</w:t>
      </w:r>
      <w:r w:rsidRPr="7458332A" w:rsidR="7458332A">
        <w:rPr>
          <w:lang w:val="en-US"/>
        </w:rPr>
        <w:t>, and the grid currently lacks the flexibility to bridge that gap (Torres, 2026). Taken together, fossil fuel dependence and a renewable share of roughly 5.5% of total energy leave Peru exposed to external price swings while limiting access to cleaner supply, a situation that will not improve without more deliberate institutional backing for the technologies needed to change it (Colina-Calvo, 2024).</w:t>
      </w:r>
    </w:p>
    <w:p w:rsidR="7458332A" w:rsidP="7458332A" w:rsidRDefault="7458332A" w14:paraId="0CE7A74D" w14:textId="519AAFAA">
      <w:pPr>
        <w:pStyle w:val="ListParagraph"/>
        <w:jc w:val="both"/>
        <w:rPr>
          <w:lang w:val="en-US"/>
        </w:rPr>
      </w:pPr>
    </w:p>
    <w:p w:rsidRPr="00A07B1F" w:rsidR="00A07B1F" w:rsidP="00A07B1F" w:rsidRDefault="00A07B1F" w14:paraId="6C73AF15" w14:textId="79BA5888">
      <w:pPr>
        <w:pStyle w:val="ListParagraph"/>
        <w:jc w:val="both"/>
        <w:rPr>
          <w:sz w:val="28"/>
          <w:szCs w:val="28"/>
        </w:rPr>
      </w:pPr>
      <w:r w:rsidR="7458332A">
        <w:rPr/>
        <w:t>3.6. Relevance of the Peruvian case for Latin America</w:t>
      </w:r>
    </w:p>
    <w:p w:rsidR="7458332A" w:rsidP="7458332A" w:rsidRDefault="7458332A" w14:paraId="27930757" w14:textId="47463F44">
      <w:pPr>
        <w:pStyle w:val="ListParagraph"/>
        <w:jc w:val="both"/>
      </w:pPr>
      <w:r w:rsidR="7458332A">
        <w:rPr/>
        <w:t>Peru occupies a distinctive position in comparative analyses of Latin American energy transitions, functioning simultaneously as a reference case for successful market reform and as a cautionary example of its limitations. The country's post-1992 restructuring achieved genuine competition, lower wholesale prices, and improved security of supply, but did so at the cost of increasing fossil-fuel dependence and accumulating a high reserve margin that raises questions about long-term allocative efficiency (Rudnick &amp; Velásquez, 2019). At the same time, Peru was among the regional pioneers of technology-specific renewable auctions, which produced dramatic price reductions — 78% for solar and 53% for wind — and demonstrated that competitive procurement mechanisms can effectively scale non-conventional renewables in emerging market contexts (Rudnick &amp; Velásquez, 2019).</w:t>
      </w:r>
    </w:p>
    <w:p w:rsidR="7458332A" w:rsidP="7458332A" w:rsidRDefault="7458332A" w14:paraId="64AC17AA" w14:textId="3495868F">
      <w:pPr>
        <w:pStyle w:val="ListParagraph"/>
        <w:jc w:val="both"/>
      </w:pPr>
    </w:p>
    <w:p w:rsidR="7458332A" w:rsidP="7458332A" w:rsidRDefault="7458332A" w14:paraId="253990E8" w14:textId="0B0F6FAF">
      <w:pPr>
        <w:pStyle w:val="ListParagraph"/>
        <w:jc w:val="both"/>
        <w:rPr>
          <w:lang w:val="en-US"/>
        </w:rPr>
      </w:pPr>
      <w:r w:rsidRPr="7458332A" w:rsidR="7458332A">
        <w:rPr>
          <w:lang w:val="en-US"/>
        </w:rPr>
        <w:t xml:space="preserve">Yet early policy innovation has not been translated into a </w:t>
      </w:r>
      <w:r w:rsidRPr="7458332A" w:rsidR="7458332A">
        <w:rPr>
          <w:lang w:val="en-US"/>
        </w:rPr>
        <w:t>consolidated</w:t>
      </w:r>
      <w:r w:rsidRPr="7458332A" w:rsidR="7458332A">
        <w:rPr>
          <w:lang w:val="en-US"/>
        </w:rPr>
        <w:t xml:space="preserve"> transition strategy. Despite its resources and early auction experience, Peru has not translated either into a coherent transition strategy. Legal reforms have accumulated incrementally rather than forming a unified framework, and no comprehensive national decarbonization plan exists; a gap that becomes particularly visible when set against Chile, which started from a comparable liberalized-market base and has moved </w:t>
      </w:r>
      <w:r w:rsidRPr="7458332A" w:rsidR="7458332A">
        <w:rPr>
          <w:lang w:val="en-US"/>
        </w:rPr>
        <w:t>considerably further</w:t>
      </w:r>
      <w:r w:rsidRPr="7458332A" w:rsidR="7458332A">
        <w:rPr>
          <w:lang w:val="en-US"/>
        </w:rPr>
        <w:t xml:space="preserve"> (Reyes, 2025). Peru's situation reflects a tension that runs through the region more broadly: the same country holds major hydrocarbon reserves — </w:t>
      </w:r>
      <w:r w:rsidRPr="7458332A" w:rsidR="7458332A">
        <w:rPr>
          <w:lang w:val="en-US"/>
        </w:rPr>
        <w:t>Camisea</w:t>
      </w:r>
      <w:r w:rsidRPr="7458332A" w:rsidR="7458332A">
        <w:rPr>
          <w:lang w:val="en-US"/>
        </w:rPr>
        <w:t xml:space="preserve"> being the most significant — alongside world-class solar, wind, biomass, and green hydrogen potential. How governments navigate that duality, and the related choices about gas as a transitional fuel, hydropower expansion, and regional grid integration, will do much to </w:t>
      </w:r>
      <w:r w:rsidRPr="7458332A" w:rsidR="7458332A">
        <w:rPr>
          <w:lang w:val="en-US"/>
        </w:rPr>
        <w:t>determine</w:t>
      </w:r>
      <w:r w:rsidRPr="7458332A" w:rsidR="7458332A">
        <w:rPr>
          <w:lang w:val="en-US"/>
        </w:rPr>
        <w:t xml:space="preserve"> what Latin America's energy system looks like </w:t>
      </w:r>
      <w:r w:rsidRPr="7458332A" w:rsidR="7458332A">
        <w:rPr>
          <w:lang w:val="en-US"/>
        </w:rPr>
        <w:t>in the long run</w:t>
      </w:r>
      <w:r w:rsidRPr="7458332A" w:rsidR="7458332A">
        <w:rPr>
          <w:lang w:val="en-US"/>
        </w:rPr>
        <w:t xml:space="preserve"> (Guliev &amp; </w:t>
      </w:r>
      <w:r w:rsidRPr="7458332A" w:rsidR="7458332A">
        <w:rPr>
          <w:lang w:val="en-US"/>
        </w:rPr>
        <w:t>Solovova</w:t>
      </w:r>
      <w:r w:rsidRPr="7458332A" w:rsidR="7458332A">
        <w:rPr>
          <w:lang w:val="en-US"/>
        </w:rPr>
        <w:t>, 2022).</w:t>
      </w:r>
    </w:p>
    <w:p w:rsidR="7458332A" w:rsidP="7458332A" w:rsidRDefault="7458332A" w14:paraId="50144AAD" w14:textId="33AA2CEB">
      <w:pPr>
        <w:pStyle w:val="ListParagraph"/>
        <w:jc w:val="both"/>
        <w:rPr>
          <w:lang w:val="en-US"/>
        </w:rPr>
      </w:pPr>
    </w:p>
    <w:p w:rsidRPr="00A07B1F" w:rsidR="00A07B1F" w:rsidP="00A07B1F" w:rsidRDefault="00A07B1F" w14:paraId="0AD8602D" w14:textId="59D69D34">
      <w:pPr>
        <w:pStyle w:val="ListParagraph"/>
        <w:numPr>
          <w:ilvl w:val="0"/>
          <w:numId w:val="1"/>
        </w:numPr>
        <w:jc w:val="both"/>
        <w:rPr>
          <w:sz w:val="28"/>
          <w:szCs w:val="28"/>
        </w:rPr>
      </w:pPr>
      <w:r>
        <w:t>Methodology</w:t>
      </w:r>
    </w:p>
    <w:p w:rsidR="00A07B1F" w:rsidP="00A07B1F" w:rsidRDefault="00A07B1F" w14:paraId="508425EA" w14:textId="14773C4C">
      <w:pPr>
        <w:pStyle w:val="ListParagraph"/>
        <w:jc w:val="both"/>
      </w:pPr>
      <w:r w:rsidRPr="7458332A" w:rsidR="7458332A">
        <w:rPr>
          <w:lang w:val="en-US"/>
        </w:rPr>
        <w:t>4.1. Modeling approach</w:t>
      </w:r>
      <w:r w:rsidRPr="7458332A" w:rsidR="7458332A">
        <w:rPr>
          <w:lang w:val="en-US"/>
        </w:rPr>
        <w:t xml:space="preserve"> (Incluir lo de tornados)</w:t>
      </w:r>
    </w:p>
    <w:p w:rsidR="00A07B1F" w:rsidP="00A07B1F" w:rsidRDefault="00A07B1F" w14:paraId="637DB0A7" w14:textId="019611CD">
      <w:pPr>
        <w:pStyle w:val="ListParagraph"/>
        <w:jc w:val="both"/>
      </w:pPr>
      <w:r>
        <w:t>4.2. System dynamics model structure</w:t>
      </w:r>
      <w:r>
        <w:t xml:space="preserve"> (Sebastian)</w:t>
      </w:r>
    </w:p>
    <w:p w:rsidR="00A07B1F" w:rsidP="00A07B1F" w:rsidRDefault="00A07B1F" w14:paraId="2F141969" w14:textId="57C37ADB">
      <w:pPr>
        <w:pStyle w:val="ListParagraph"/>
        <w:jc w:val="both"/>
      </w:pPr>
      <w:r>
        <w:t>4.3. Main feedback loops</w:t>
      </w:r>
    </w:p>
    <w:p w:rsidR="00A07B1F" w:rsidP="00A07B1F" w:rsidRDefault="00A07B1F" w14:paraId="25A0C3C9" w14:textId="6C0B099B">
      <w:pPr>
        <w:pStyle w:val="ListParagraph"/>
        <w:jc w:val="both"/>
      </w:pPr>
      <w:r>
        <w:t>4.4. Demand growth assumptions</w:t>
      </w:r>
    </w:p>
    <w:p w:rsidR="00A07B1F" w:rsidP="00A07B1F" w:rsidRDefault="00A07B1F" w14:paraId="4D16C880" w14:textId="100F1ED2">
      <w:pPr>
        <w:pStyle w:val="ListParagraph"/>
        <w:jc w:val="both"/>
      </w:pPr>
      <w:r>
        <w:t>4.5. Generation expansion module</w:t>
      </w:r>
    </w:p>
    <w:p w:rsidR="00A07B1F" w:rsidP="00A07B1F" w:rsidRDefault="00A07B1F" w14:paraId="436079B9" w14:textId="55DB5B26">
      <w:pPr>
        <w:pStyle w:val="ListParagraph"/>
        <w:jc w:val="both"/>
      </w:pPr>
      <w:r>
        <w:lastRenderedPageBreak/>
        <w:t>4.6. Transmission expansion module</w:t>
      </w:r>
    </w:p>
    <w:p w:rsidR="00A07B1F" w:rsidP="00A07B1F" w:rsidRDefault="00A07B1F" w14:paraId="67513215" w14:textId="4BB41485">
      <w:pPr>
        <w:pStyle w:val="ListParagraph"/>
        <w:jc w:val="both"/>
      </w:pPr>
      <w:r>
        <w:t>4.8. Cost and tariff representation</w:t>
      </w:r>
    </w:p>
    <w:p w:rsidR="00A07B1F" w:rsidP="00A07B1F" w:rsidRDefault="00A07B1F" w14:paraId="168AC1AB" w14:textId="0424E03F">
      <w:pPr>
        <w:pStyle w:val="ListParagraph"/>
        <w:jc w:val="both"/>
      </w:pPr>
      <w:r>
        <w:t>4.9. Scenario design</w:t>
      </w:r>
      <w:r>
        <w:t xml:space="preserve"> (Carolina)</w:t>
      </w:r>
    </w:p>
    <w:p w:rsidR="00A07B1F" w:rsidP="00A07B1F" w:rsidRDefault="00A07B1F" w14:paraId="252114AA" w14:textId="4B77D6F9">
      <w:pPr>
        <w:pStyle w:val="ListParagraph"/>
        <w:jc w:val="both"/>
      </w:pPr>
      <w:r>
        <w:t xml:space="preserve">4.10. </w:t>
      </w:r>
      <w:r>
        <w:t>Data and Assumptions</w:t>
      </w:r>
    </w:p>
    <w:p w:rsidRPr="00A07B1F" w:rsidR="00A07B1F" w:rsidP="00A07B1F" w:rsidRDefault="00A07B1F" w14:paraId="563EF08B" w14:textId="11B04B73">
      <w:pPr>
        <w:pStyle w:val="ListParagraph"/>
        <w:jc w:val="both"/>
        <w:rPr>
          <w:sz w:val="28"/>
          <w:szCs w:val="28"/>
        </w:rPr>
      </w:pPr>
    </w:p>
    <w:p w:rsidR="00A07B1F" w:rsidP="00A07B1F" w:rsidRDefault="00A07B1F" w14:paraId="6AB26B98" w14:textId="3E7936FB">
      <w:pPr>
        <w:pStyle w:val="ListParagraph"/>
        <w:numPr>
          <w:ilvl w:val="0"/>
          <w:numId w:val="1"/>
        </w:numPr>
        <w:jc w:val="both"/>
        <w:rPr>
          <w:sz w:val="28"/>
          <w:szCs w:val="28"/>
        </w:rPr>
      </w:pPr>
      <w:r>
        <w:rPr>
          <w:sz w:val="28"/>
          <w:szCs w:val="28"/>
        </w:rPr>
        <w:t>Results (Carolina)</w:t>
      </w:r>
    </w:p>
    <w:p w:rsidR="00A07B1F" w:rsidP="00A07B1F" w:rsidRDefault="00A07B1F" w14:paraId="506C36C2" w14:textId="52C2D009">
      <w:pPr>
        <w:pStyle w:val="ListParagraph"/>
        <w:jc w:val="both"/>
      </w:pPr>
      <w:r>
        <w:t>5</w:t>
      </w:r>
      <w:r>
        <w:t>.1 Baseline behavior of the Peruvian power system</w:t>
      </w:r>
    </w:p>
    <w:p w:rsidR="00A07B1F" w:rsidP="00A07B1F" w:rsidRDefault="00A07B1F" w14:paraId="0C81361E" w14:textId="0AC7BF93">
      <w:pPr>
        <w:pStyle w:val="ListParagraph"/>
        <w:jc w:val="both"/>
      </w:pPr>
      <w:r>
        <w:t xml:space="preserve">5.2 </w:t>
      </w:r>
      <w:r>
        <w:t>Scenario results for Peru</w:t>
      </w:r>
    </w:p>
    <w:p w:rsidR="00F176E8" w:rsidP="00A07B1F" w:rsidRDefault="00F176E8" w14:paraId="17830CEC" w14:textId="64BB3DBB">
      <w:pPr>
        <w:pStyle w:val="ListParagraph"/>
        <w:jc w:val="both"/>
        <w:rPr>
          <w:sz w:val="28"/>
          <w:szCs w:val="28"/>
        </w:rPr>
      </w:pPr>
      <w:r>
        <w:t>5.3 Scenarios comparison</w:t>
      </w:r>
    </w:p>
    <w:p w:rsidRPr="00F176E8" w:rsidR="00F176E8" w:rsidP="00F176E8" w:rsidRDefault="00F176E8" w14:paraId="1539BACF" w14:textId="77777777">
      <w:pPr>
        <w:pStyle w:val="ListParagraph"/>
        <w:numPr>
          <w:ilvl w:val="0"/>
          <w:numId w:val="1"/>
        </w:numPr>
        <w:spacing w:before="100" w:beforeAutospacing="1" w:after="100" w:afterAutospacing="1" w:line="240" w:lineRule="auto"/>
        <w:outlineLvl w:val="2"/>
      </w:pPr>
      <w:r w:rsidRPr="00F176E8">
        <w:t>Discussion</w:t>
      </w:r>
    </w:p>
    <w:p w:rsidRPr="00F176E8" w:rsidR="00F176E8" w:rsidP="00F176E8" w:rsidRDefault="00F176E8" w14:paraId="62C061D3" w14:textId="62DBF72B">
      <w:pPr>
        <w:pStyle w:val="ListParagraph"/>
        <w:spacing w:before="100" w:beforeAutospacing="1" w:after="100" w:afterAutospacing="1" w:line="240" w:lineRule="auto"/>
      </w:pPr>
      <w:r w:rsidRPr="00F176E8">
        <w:t>6</w:t>
      </w:r>
      <w:r w:rsidRPr="00F176E8">
        <w:t>.1. Why transmission matters for Peru’s energy transition</w:t>
      </w:r>
      <w:r w:rsidRPr="00F176E8">
        <w:br/>
      </w:r>
      <w:r w:rsidRPr="00F176E8">
        <w:t>6</w:t>
      </w:r>
      <w:r w:rsidRPr="00F176E8">
        <w:t>.2. Demand growth as a driver of infrastructure needs</w:t>
      </w:r>
      <w:r w:rsidRPr="00F176E8">
        <w:br/>
      </w:r>
      <w:r w:rsidRPr="00F176E8">
        <w:t>6</w:t>
      </w:r>
      <w:r w:rsidRPr="00F176E8">
        <w:t>.3. Infrastructure delays and long-term reliability risks</w:t>
      </w:r>
      <w:r w:rsidRPr="00F176E8">
        <w:br/>
      </w:r>
      <w:r w:rsidRPr="00F176E8">
        <w:t>6</w:t>
      </w:r>
      <w:r w:rsidRPr="00F176E8">
        <w:t>.4. Thermal dependence and exposure to fuel price volatility</w:t>
      </w:r>
      <w:r w:rsidRPr="00F176E8">
        <w:br/>
      </w:r>
      <w:r w:rsidRPr="00F176E8">
        <w:t>6</w:t>
      </w:r>
      <w:r w:rsidRPr="00F176E8">
        <w:t>.5. Renewable integration and transmission coordination</w:t>
      </w:r>
      <w:r w:rsidRPr="00F176E8">
        <w:br/>
      </w:r>
      <w:r w:rsidRPr="00F176E8">
        <w:t>6</w:t>
      </w:r>
      <w:r w:rsidRPr="00F176E8">
        <w:t>.6. Policy implications for Peruvian electricity planning</w:t>
      </w:r>
      <w:r w:rsidRPr="00F176E8">
        <w:br/>
      </w:r>
      <w:r w:rsidRPr="00F176E8">
        <w:t>6</w:t>
      </w:r>
      <w:r w:rsidRPr="00F176E8">
        <w:t>.7. Comparison with other Latin American systems</w:t>
      </w:r>
      <w:r w:rsidRPr="00F176E8">
        <w:br/>
      </w:r>
      <w:r w:rsidRPr="00F176E8">
        <w:t>6</w:t>
      </w:r>
      <w:r w:rsidRPr="00F176E8">
        <w:t>.8. Methodological implications</w:t>
      </w:r>
    </w:p>
    <w:p w:rsidR="00A07B1F" w:rsidP="00A07B1F" w:rsidRDefault="00F176E8" w14:paraId="4B6D1780" w14:textId="21BBC1CB">
      <w:pPr>
        <w:pStyle w:val="ListParagraph"/>
        <w:numPr>
          <w:ilvl w:val="0"/>
          <w:numId w:val="1"/>
        </w:numPr>
        <w:jc w:val="both"/>
        <w:rPr>
          <w:sz w:val="28"/>
          <w:szCs w:val="28"/>
        </w:rPr>
      </w:pPr>
      <w:r>
        <w:rPr>
          <w:sz w:val="28"/>
          <w:szCs w:val="28"/>
        </w:rPr>
        <w:t>Conclusions and policy implications</w:t>
      </w:r>
    </w:p>
    <w:p w:rsidRPr="00551B75" w:rsidR="00A07B1F" w:rsidP="00F176E8" w:rsidRDefault="00F176E8" w14:paraId="1B710DF5" w14:textId="444F59F4">
      <w:pPr>
        <w:pStyle w:val="ListParagraph"/>
        <w:jc w:val="both"/>
      </w:pPr>
      <w:r w:rsidRPr="00551B75">
        <w:t>References</w:t>
      </w:r>
    </w:p>
    <w:p w:rsidRPr="00551B75" w:rsidR="001557CF" w:rsidP="001557CF" w:rsidRDefault="001557CF" w14:paraId="5C83927D" w14:textId="6D4064A3">
      <w:pPr>
        <w:pStyle w:val="ListParagraph"/>
        <w:jc w:val="both"/>
      </w:pPr>
      <w:r w:rsidRPr="00551B75">
        <w:t xml:space="preserve">Appendix </w:t>
      </w:r>
      <w:r w:rsidRPr="00551B75">
        <w:t>A</w:t>
      </w:r>
      <w:r w:rsidRPr="00551B75">
        <w:t xml:space="preserve"> Additional sensitivity analysis</w:t>
      </w:r>
    </w:p>
    <w:p w:rsidRPr="00551B75" w:rsidR="001557CF" w:rsidP="001557CF" w:rsidRDefault="001557CF" w14:paraId="3E97AA44" w14:textId="70D6339B">
      <w:pPr>
        <w:pStyle w:val="ListParagraph"/>
        <w:jc w:val="both"/>
      </w:pPr>
      <w:r w:rsidRPr="00551B75">
        <w:t xml:space="preserve">Appendix </w:t>
      </w:r>
      <w:r w:rsidRPr="00551B75">
        <w:t>B</w:t>
      </w:r>
      <w:r w:rsidRPr="00551B75">
        <w:t>. Extended results for the Peruvian case</w:t>
      </w:r>
    </w:p>
    <w:p w:rsidRPr="00A07B1F" w:rsidR="001557CF" w:rsidP="00F176E8" w:rsidRDefault="001557CF" w14:paraId="145F1F06" w14:textId="77777777">
      <w:pPr>
        <w:pStyle w:val="ListParagraph"/>
        <w:jc w:val="both"/>
        <w:rPr>
          <w:sz w:val="28"/>
          <w:szCs w:val="28"/>
        </w:rPr>
      </w:pPr>
    </w:p>
    <w:sectPr w:rsidRPr="00A07B1F" w:rsidR="001557CF">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4BjwaTckdMEKp" int2:id="A6UwSGjD">
      <int2:state int2:type="spell" int2:value="Rejected"/>
    </int2:textHash>
    <int2:textHash int2:hashCode="/IyQBUC6Yl2yDO" int2:id="VDRy2Ok3">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2FF"/>
    <w:multiLevelType w:val="hybridMultilevel"/>
    <w:tmpl w:val="CC241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055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1F"/>
    <w:rsid w:val="001557CF"/>
    <w:rsid w:val="00320D22"/>
    <w:rsid w:val="003D6F98"/>
    <w:rsid w:val="005326C0"/>
    <w:rsid w:val="00551B75"/>
    <w:rsid w:val="00581C24"/>
    <w:rsid w:val="00823D85"/>
    <w:rsid w:val="00850526"/>
    <w:rsid w:val="00A07B1F"/>
    <w:rsid w:val="00F176E8"/>
    <w:rsid w:val="00F60021"/>
    <w:rsid w:val="00F630C7"/>
    <w:rsid w:val="7458332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1BBEABB7"/>
  <w15:chartTrackingRefBased/>
  <w15:docId w15:val="{79E99B5B-02A2-C242-B228-9BFAB035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07B1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B1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7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B1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07B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A07B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07B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07B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07B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07B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07B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07B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07B1F"/>
    <w:rPr>
      <w:rFonts w:eastAsiaTheme="majorEastAsia" w:cstheme="majorBidi"/>
      <w:color w:val="272727" w:themeColor="text1" w:themeTint="D8"/>
    </w:rPr>
  </w:style>
  <w:style w:type="paragraph" w:styleId="Title">
    <w:name w:val="Title"/>
    <w:basedOn w:val="Normal"/>
    <w:next w:val="Normal"/>
    <w:link w:val="TitleChar"/>
    <w:uiPriority w:val="10"/>
    <w:qFormat/>
    <w:rsid w:val="00A07B1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07B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07B1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07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B1F"/>
    <w:pPr>
      <w:spacing w:before="160"/>
      <w:jc w:val="center"/>
    </w:pPr>
    <w:rPr>
      <w:i/>
      <w:iCs/>
      <w:color w:val="404040" w:themeColor="text1" w:themeTint="BF"/>
    </w:rPr>
  </w:style>
  <w:style w:type="character" w:styleId="QuoteChar" w:customStyle="1">
    <w:name w:val="Quote Char"/>
    <w:basedOn w:val="DefaultParagraphFont"/>
    <w:link w:val="Quote"/>
    <w:uiPriority w:val="29"/>
    <w:rsid w:val="00A07B1F"/>
    <w:rPr>
      <w:i/>
      <w:iCs/>
      <w:color w:val="404040" w:themeColor="text1" w:themeTint="BF"/>
    </w:rPr>
  </w:style>
  <w:style w:type="paragraph" w:styleId="ListParagraph">
    <w:name w:val="List Paragraph"/>
    <w:basedOn w:val="Normal"/>
    <w:uiPriority w:val="34"/>
    <w:qFormat/>
    <w:rsid w:val="00A07B1F"/>
    <w:pPr>
      <w:ind w:left="720"/>
      <w:contextualSpacing/>
    </w:pPr>
  </w:style>
  <w:style w:type="character" w:styleId="IntenseEmphasis">
    <w:name w:val="Intense Emphasis"/>
    <w:basedOn w:val="DefaultParagraphFont"/>
    <w:uiPriority w:val="21"/>
    <w:qFormat/>
    <w:rsid w:val="00A07B1F"/>
    <w:rPr>
      <w:i/>
      <w:iCs/>
      <w:color w:val="0F4761" w:themeColor="accent1" w:themeShade="BF"/>
    </w:rPr>
  </w:style>
  <w:style w:type="paragraph" w:styleId="IntenseQuote">
    <w:name w:val="Intense Quote"/>
    <w:basedOn w:val="Normal"/>
    <w:next w:val="Normal"/>
    <w:link w:val="IntenseQuoteChar"/>
    <w:uiPriority w:val="30"/>
    <w:qFormat/>
    <w:rsid w:val="00A07B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07B1F"/>
    <w:rPr>
      <w:i/>
      <w:iCs/>
      <w:color w:val="0F4761" w:themeColor="accent1" w:themeShade="BF"/>
    </w:rPr>
  </w:style>
  <w:style w:type="character" w:styleId="IntenseReference">
    <w:name w:val="Intense Reference"/>
    <w:basedOn w:val="DefaultParagraphFont"/>
    <w:uiPriority w:val="32"/>
    <w:qFormat/>
    <w:rsid w:val="00A07B1F"/>
    <w:rPr>
      <w:b/>
      <w:bCs/>
      <w:smallCaps/>
      <w:color w:val="0F4761" w:themeColor="accent1" w:themeShade="BF"/>
      <w:spacing w:val="5"/>
    </w:rPr>
  </w:style>
  <w:style w:type="paragraph" w:styleId="NormalWeb">
    <w:name w:val="Normal (Web)"/>
    <w:basedOn w:val="Normal"/>
    <w:uiPriority w:val="99"/>
    <w:semiHidden/>
    <w:unhideWhenUsed/>
    <w:rsid w:val="00F176E8"/>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034593599b8c4b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Sebastián Zapata Ramírez</dc:creator>
  <keywords/>
  <dc:description/>
  <lastModifiedBy>Sebastián Zapata Ramírez</lastModifiedBy>
  <revision>4</revision>
  <dcterms:created xsi:type="dcterms:W3CDTF">2026-05-08T13:48:00.0000000Z</dcterms:created>
  <dcterms:modified xsi:type="dcterms:W3CDTF">2026-06-18T15:08:23.3177080Z</dcterms:modified>
</coreProperties>
</file>