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A8FA8" w14:textId="0B1417CE" w:rsidR="00E2596F" w:rsidRPr="004B7732" w:rsidRDefault="00FF2170" w:rsidP="00725939">
      <w:pPr>
        <w:pStyle w:val="TITEL"/>
        <w:outlineLvl w:val="0"/>
        <w:rPr>
          <w:smallCaps/>
          <w:lang w:val="en-US"/>
        </w:rPr>
      </w:pPr>
      <w:r>
        <w:rPr>
          <w:smallCaps/>
          <w:lang w:val="en-US"/>
        </w:rPr>
        <w:t>Modeling c</w:t>
      </w:r>
      <w:r w:rsidR="00A9753B">
        <w:rPr>
          <w:smallCaps/>
          <w:lang w:val="en-US"/>
        </w:rPr>
        <w:t xml:space="preserve">ost-optimal gas </w:t>
      </w:r>
      <w:r w:rsidR="00366403">
        <w:rPr>
          <w:smallCaps/>
          <w:lang w:val="en-US"/>
        </w:rPr>
        <w:t>network</w:t>
      </w:r>
      <w:r w:rsidR="00A9753B">
        <w:rPr>
          <w:smallCaps/>
          <w:lang w:val="en-US"/>
        </w:rPr>
        <w:t xml:space="preserve"> </w:t>
      </w:r>
      <w:r w:rsidR="001F0611">
        <w:rPr>
          <w:smallCaps/>
          <w:lang w:val="en-US"/>
        </w:rPr>
        <w:t xml:space="preserve">infrastructure </w:t>
      </w:r>
      <w:r w:rsidR="00A9753B">
        <w:rPr>
          <w:smallCaps/>
          <w:lang w:val="en-US"/>
        </w:rPr>
        <w:t>decommissioning</w:t>
      </w:r>
      <w:r w:rsidR="006E09BF">
        <w:rPr>
          <w:smallCaps/>
          <w:lang w:val="en-US"/>
        </w:rPr>
        <w:t xml:space="preserve">: </w:t>
      </w:r>
      <w:r w:rsidR="00C97ED9">
        <w:rPr>
          <w:smallCaps/>
          <w:lang w:val="en-US"/>
        </w:rPr>
        <w:t>The c</w:t>
      </w:r>
      <w:r w:rsidR="006E09BF">
        <w:rPr>
          <w:smallCaps/>
          <w:lang w:val="en-US"/>
        </w:rPr>
        <w:t xml:space="preserve">ase </w:t>
      </w:r>
      <w:r w:rsidR="00C97ED9">
        <w:rPr>
          <w:smallCaps/>
          <w:lang w:val="en-US"/>
        </w:rPr>
        <w:t>of Austria</w:t>
      </w:r>
      <w:r w:rsidR="00A9753B">
        <w:rPr>
          <w:smallCaps/>
          <w:lang w:val="en-US"/>
        </w:rPr>
        <w:t xml:space="preserve"> </w:t>
      </w:r>
    </w:p>
    <w:p w14:paraId="1BF7737F" w14:textId="16836F73" w:rsidR="00725939" w:rsidRPr="0023321E" w:rsidRDefault="00051F96" w:rsidP="00E45528">
      <w:pPr>
        <w:pStyle w:val="Autoren"/>
        <w:rPr>
          <w:lang w:val="de-AT"/>
        </w:rPr>
      </w:pPr>
      <w:r w:rsidRPr="00006246">
        <w:rPr>
          <w:u w:val="single"/>
          <w:lang w:val="de-AT"/>
        </w:rPr>
        <w:t>Sebastian Zwickl-Bernhard</w:t>
      </w:r>
      <w:r w:rsidR="001A00DF">
        <w:rPr>
          <w:rStyle w:val="Funotenzeichen"/>
          <w:lang w:val="de-AT"/>
        </w:rPr>
        <w:footnoteReference w:id="1"/>
      </w:r>
      <w:r w:rsidR="001A00DF" w:rsidRPr="001A00DF">
        <w:rPr>
          <w:vertAlign w:val="superscript"/>
          <w:lang w:val="de-AT"/>
        </w:rPr>
        <w:t>,2</w:t>
      </w:r>
      <w:r w:rsidR="00E45528" w:rsidRPr="0023321E">
        <w:rPr>
          <w:lang w:val="de-AT"/>
        </w:rPr>
        <w:t xml:space="preserve">, </w:t>
      </w:r>
      <w:r w:rsidR="00E45528" w:rsidRPr="00006246">
        <w:rPr>
          <w:lang w:val="de-AT"/>
        </w:rPr>
        <w:t>Hans Auer</w:t>
      </w:r>
      <w:r w:rsidR="00E45528" w:rsidRPr="00EF0B55">
        <w:rPr>
          <w:rStyle w:val="Funotenzeichen"/>
        </w:rPr>
        <w:footnoteReference w:id="2"/>
      </w:r>
      <w:r w:rsidR="00C75E8F" w:rsidRPr="005206AC">
        <w:rPr>
          <w:rStyle w:val="Funotenzeichen"/>
          <w:color w:val="FFFFFF" w:themeColor="background1"/>
          <w:lang w:val="de-AT"/>
        </w:rPr>
        <w:footnoteReference w:id="3"/>
      </w:r>
    </w:p>
    <w:p w14:paraId="7F16957E" w14:textId="2D1455DE" w:rsidR="00725939" w:rsidRDefault="000652F6" w:rsidP="00725939">
      <w:pPr>
        <w:pStyle w:val="berschrift1"/>
        <w:rPr>
          <w:lang w:val="en-US"/>
        </w:rPr>
      </w:pPr>
      <w:r w:rsidRPr="006D4661">
        <w:rPr>
          <w:lang w:val="en-US"/>
        </w:rPr>
        <w:t>Motivation</w:t>
      </w:r>
      <w:r w:rsidR="001E592C" w:rsidRPr="006D4661">
        <w:rPr>
          <w:lang w:val="en-US"/>
        </w:rPr>
        <w:t xml:space="preserve"> </w:t>
      </w:r>
      <w:r w:rsidR="00654EC4" w:rsidRPr="006D4661">
        <w:rPr>
          <w:lang w:val="en-US"/>
        </w:rPr>
        <w:t xml:space="preserve">and core objective </w:t>
      </w:r>
    </w:p>
    <w:p w14:paraId="4C7D3E70" w14:textId="6A61D016" w:rsidR="00D012E1" w:rsidRPr="007C5A5E" w:rsidRDefault="006D4661" w:rsidP="006D4661">
      <w:pPr>
        <w:rPr>
          <w:lang w:val="en-US"/>
        </w:rPr>
      </w:pPr>
      <w:r>
        <w:rPr>
          <w:lang w:val="en-US"/>
        </w:rPr>
        <w:t xml:space="preserve">In order to limit the increase of the global average temperature to 1.5°C, </w:t>
      </w:r>
      <w:r w:rsidR="0075024D" w:rsidRPr="006B5E79">
        <w:rPr>
          <w:noProof/>
          <w:szCs w:val="20"/>
          <w:lang w:val="en-US"/>
        </w:rPr>
        <w:t>McGlade</w:t>
      </w:r>
      <w:r w:rsidR="0075024D">
        <w:rPr>
          <w:lang w:val="en-US"/>
        </w:rPr>
        <w:t xml:space="preserve"> and Ekins estimate</w:t>
      </w:r>
      <w:r>
        <w:rPr>
          <w:lang w:val="en-US"/>
        </w:rPr>
        <w:t xml:space="preserve"> that about half of natural gas reserve potentials have to remain underground</w:t>
      </w:r>
      <w:r w:rsidR="0075024D">
        <w:rPr>
          <w:lang w:val="en-US"/>
        </w:rPr>
        <w:t xml:space="preserve"> </w:t>
      </w:r>
      <w:r w:rsidR="0075024D" w:rsidRPr="0075024D">
        <w:rPr>
          <w:rFonts w:cs="Arial"/>
          <w:lang w:val="en-US"/>
        </w:rPr>
        <w:t>[</w:t>
      </w:r>
      <w:r w:rsidR="0075024D" w:rsidRPr="0075024D">
        <w:rPr>
          <w:lang w:val="en-US"/>
        </w:rPr>
        <w:t>1].</w:t>
      </w:r>
      <w:r w:rsidR="0075024D">
        <w:rPr>
          <w:lang w:val="en-US"/>
        </w:rPr>
        <w:t xml:space="preserve"> Accordingly, it is undisputed that the sustainable energy system transformation confronts </w:t>
      </w:r>
      <w:r w:rsidR="00D012E1">
        <w:rPr>
          <w:lang w:val="en-US"/>
        </w:rPr>
        <w:t xml:space="preserve">natural gas </w:t>
      </w:r>
      <w:r w:rsidR="00C439AA">
        <w:rPr>
          <w:lang w:val="en-US"/>
        </w:rPr>
        <w:t xml:space="preserve">network </w:t>
      </w:r>
      <w:r w:rsidR="00D012E1">
        <w:rPr>
          <w:lang w:val="en-US"/>
        </w:rPr>
        <w:t>infrastructure with issues related to its role in a decarbonized society</w:t>
      </w:r>
      <w:r w:rsidR="00E23523">
        <w:rPr>
          <w:lang w:val="en-US"/>
        </w:rPr>
        <w:t xml:space="preserve"> </w:t>
      </w:r>
      <w:r w:rsidR="00E23523" w:rsidRPr="0075024D">
        <w:rPr>
          <w:rFonts w:cs="Arial"/>
          <w:lang w:val="en-US"/>
        </w:rPr>
        <w:t>[</w:t>
      </w:r>
      <w:r w:rsidR="00E23523">
        <w:rPr>
          <w:lang w:val="en-US"/>
        </w:rPr>
        <w:t>2]</w:t>
      </w:r>
      <w:r w:rsidR="00D012E1">
        <w:rPr>
          <w:lang w:val="en-US"/>
        </w:rPr>
        <w:t xml:space="preserve">. </w:t>
      </w:r>
      <w:r w:rsidR="007C5A5E" w:rsidRPr="007C5A5E">
        <w:rPr>
          <w:lang w:val="en-US"/>
        </w:rPr>
        <w:t xml:space="preserve">One particularly </w:t>
      </w:r>
      <w:r w:rsidR="00185373">
        <w:rPr>
          <w:lang w:val="en-US"/>
        </w:rPr>
        <w:t>crucial</w:t>
      </w:r>
      <w:r w:rsidR="007C5A5E" w:rsidRPr="007C5A5E">
        <w:rPr>
          <w:lang w:val="en-US"/>
        </w:rPr>
        <w:t xml:space="preserve"> question concerns</w:t>
      </w:r>
      <w:r w:rsidR="007C5A5E">
        <w:rPr>
          <w:lang w:val="en-US"/>
        </w:rPr>
        <w:t xml:space="preserve"> the degree of refurbishment investment into the </w:t>
      </w:r>
      <w:r w:rsidR="00C439AA">
        <w:rPr>
          <w:lang w:val="en-US"/>
        </w:rPr>
        <w:t xml:space="preserve">existing </w:t>
      </w:r>
      <w:r w:rsidR="007C5A5E">
        <w:rPr>
          <w:lang w:val="en-US"/>
        </w:rPr>
        <w:t xml:space="preserve">gas </w:t>
      </w:r>
      <w:r w:rsidR="00C439AA">
        <w:rPr>
          <w:lang w:val="en-US"/>
        </w:rPr>
        <w:t>network</w:t>
      </w:r>
      <w:r w:rsidR="007C5A5E">
        <w:rPr>
          <w:lang w:val="en-US"/>
        </w:rPr>
        <w:t xml:space="preserve"> in the light of an expected overa</w:t>
      </w:r>
      <w:r w:rsidR="00C439AA">
        <w:rPr>
          <w:lang w:val="en-US"/>
        </w:rPr>
        <w:t>ll decrease</w:t>
      </w:r>
      <w:r w:rsidR="00185373">
        <w:rPr>
          <w:lang w:val="en-US"/>
        </w:rPr>
        <w:t xml:space="preserve"> in gas consumption and greater, </w:t>
      </w:r>
      <w:r w:rsidR="00C439AA">
        <w:rPr>
          <w:lang w:val="en-US"/>
        </w:rPr>
        <w:t>but quantitatively limited</w:t>
      </w:r>
      <w:r w:rsidR="00185373">
        <w:rPr>
          <w:lang w:val="en-US"/>
        </w:rPr>
        <w:t>,</w:t>
      </w:r>
      <w:r w:rsidR="00C439AA">
        <w:rPr>
          <w:lang w:val="en-US"/>
        </w:rPr>
        <w:t xml:space="preserve"> penetration of </w:t>
      </w:r>
      <w:r w:rsidR="006E218F">
        <w:rPr>
          <w:lang w:val="en-US"/>
        </w:rPr>
        <w:t>“</w:t>
      </w:r>
      <w:r w:rsidR="00C439AA">
        <w:rPr>
          <w:lang w:val="en-US"/>
        </w:rPr>
        <w:t>green</w:t>
      </w:r>
      <w:r w:rsidR="006E218F">
        <w:rPr>
          <w:lang w:val="en-US"/>
        </w:rPr>
        <w:t>”</w:t>
      </w:r>
      <w:r w:rsidR="00C439AA">
        <w:rPr>
          <w:lang w:val="en-US"/>
        </w:rPr>
        <w:t xml:space="preserve"> gas. </w:t>
      </w:r>
    </w:p>
    <w:p w14:paraId="7778E135" w14:textId="79268EAC" w:rsidR="004969A5" w:rsidRPr="00A638D3" w:rsidRDefault="008B48A4" w:rsidP="006D4661">
      <w:pPr>
        <w:rPr>
          <w:lang w:val="en-US"/>
        </w:rPr>
      </w:pPr>
      <w:r w:rsidRPr="008B48A4">
        <w:rPr>
          <w:lang w:val="en-US"/>
        </w:rPr>
        <w:t xml:space="preserve">The core objective of this work is to investigate the cost-optimal gas network infrastructure in Austria </w:t>
      </w:r>
      <w:r w:rsidR="00185373">
        <w:rPr>
          <w:lang w:val="en-US"/>
        </w:rPr>
        <w:t>on the path to the</w:t>
      </w:r>
      <w:r w:rsidRPr="008B48A4">
        <w:rPr>
          <w:lang w:val="en-US"/>
        </w:rPr>
        <w:t xml:space="preserve"> climate target year 2050. In particular, the </w:t>
      </w:r>
      <w:r w:rsidR="00185373">
        <w:rPr>
          <w:lang w:val="en-US"/>
        </w:rPr>
        <w:t xml:space="preserve">network </w:t>
      </w:r>
      <w:r w:rsidRPr="008B48A4">
        <w:rPr>
          <w:lang w:val="en-US"/>
        </w:rPr>
        <w:t>decommissioning and refurbishment investment decision (e.g., where green gas is used due to missing su</w:t>
      </w:r>
      <w:r w:rsidR="003C092A">
        <w:rPr>
          <w:lang w:val="en-US"/>
        </w:rPr>
        <w:t xml:space="preserve">stainable alternatives) plays an important </w:t>
      </w:r>
      <w:r w:rsidRPr="008B48A4">
        <w:rPr>
          <w:lang w:val="en-US"/>
        </w:rPr>
        <w:t xml:space="preserve">role in this analysis. </w:t>
      </w:r>
      <w:r w:rsidR="00E271E7">
        <w:rPr>
          <w:lang w:val="en-US"/>
        </w:rPr>
        <w:t>That</w:t>
      </w:r>
      <w:r w:rsidRPr="008B48A4">
        <w:rPr>
          <w:lang w:val="en-US"/>
        </w:rPr>
        <w:t xml:space="preserve"> is closely associated with the avoidance of stranded assets appearing on utility companies’ ledgers. We develop a high spatially (at the district/NUTS3 level with the intention to extend the resolution to the municipality/LAU level</w:t>
      </w:r>
      <w:r w:rsidR="00FE45D8">
        <w:rPr>
          <w:lang w:val="en-US"/>
        </w:rPr>
        <w:t xml:space="preserve"> in the future</w:t>
      </w:r>
      <w:r w:rsidRPr="008B48A4">
        <w:rPr>
          <w:lang w:val="en-US"/>
        </w:rPr>
        <w:t xml:space="preserve">) and temporally (i.e., hourly) </w:t>
      </w:r>
      <w:r w:rsidR="00185373">
        <w:rPr>
          <w:lang w:val="en-US"/>
        </w:rPr>
        <w:t xml:space="preserve">gas system </w:t>
      </w:r>
      <w:r w:rsidRPr="008B48A4">
        <w:rPr>
          <w:lang w:val="en-US"/>
        </w:rPr>
        <w:t>modeling framework</w:t>
      </w:r>
      <w:r w:rsidR="00185373">
        <w:rPr>
          <w:lang w:val="en-US"/>
        </w:rPr>
        <w:t xml:space="preserve"> which also depicts the gas network</w:t>
      </w:r>
      <w:r w:rsidRPr="008B48A4">
        <w:rPr>
          <w:lang w:val="en-US"/>
        </w:rPr>
        <w:t>. Thus, the analysis includes not only the long-distance pipeline network but also loca</w:t>
      </w:r>
      <w:r>
        <w:rPr>
          <w:lang w:val="en-US"/>
        </w:rPr>
        <w:t>l low-pressure networks. Latter networks</w:t>
      </w:r>
      <w:r w:rsidRPr="008B48A4">
        <w:rPr>
          <w:lang w:val="en-US"/>
        </w:rPr>
        <w:t xml:space="preserve"> are particularly relevant in the context of </w:t>
      </w:r>
      <w:r w:rsidR="00185373">
        <w:rPr>
          <w:lang w:val="en-US"/>
        </w:rPr>
        <w:t xml:space="preserve">upcoming </w:t>
      </w:r>
      <w:r w:rsidRPr="008B48A4">
        <w:rPr>
          <w:lang w:val="en-US"/>
        </w:rPr>
        <w:t xml:space="preserve">decommissioning decisions (see exemplarily in [3]). The hourly resolution </w:t>
      </w:r>
      <w:r w:rsidR="00185373">
        <w:rPr>
          <w:lang w:val="en-US"/>
        </w:rPr>
        <w:t xml:space="preserve">of the modeling framework </w:t>
      </w:r>
      <w:r w:rsidRPr="008B48A4">
        <w:rPr>
          <w:lang w:val="en-US"/>
        </w:rPr>
        <w:t xml:space="preserve">appropriately models the large-scale gas storages </w:t>
      </w:r>
      <w:r w:rsidR="00A638D3">
        <w:rPr>
          <w:lang w:val="en-US"/>
        </w:rPr>
        <w:t xml:space="preserve">in the networks </w:t>
      </w:r>
      <w:r w:rsidRPr="008B48A4">
        <w:rPr>
          <w:lang w:val="en-US"/>
        </w:rPr>
        <w:t xml:space="preserve">that mainly serve as seasonal storage. </w:t>
      </w:r>
    </w:p>
    <w:p w14:paraId="5D980FFF" w14:textId="575454C9" w:rsidR="001E592C" w:rsidRPr="00290959" w:rsidRDefault="00174019" w:rsidP="009B72EA">
      <w:pPr>
        <w:pStyle w:val="berschrift1"/>
        <w:rPr>
          <w:lang w:val="en-US"/>
        </w:rPr>
      </w:pPr>
      <w:r w:rsidRPr="00290959">
        <w:rPr>
          <w:lang w:val="en-US"/>
        </w:rPr>
        <w:t>Materials and methods</w:t>
      </w:r>
    </w:p>
    <w:p w14:paraId="425F88D9" w14:textId="53EE32DA" w:rsidR="000976D1" w:rsidRPr="00290959" w:rsidRDefault="00185373" w:rsidP="003543B3">
      <w:pPr>
        <w:rPr>
          <w:lang w:val="en-US"/>
        </w:rPr>
      </w:pPr>
      <w:r>
        <w:rPr>
          <w:lang w:val="en-US"/>
        </w:rPr>
        <w:t xml:space="preserve">The core of the </w:t>
      </w:r>
      <w:proofErr w:type="gramStart"/>
      <w:r>
        <w:rPr>
          <w:lang w:val="en-US"/>
        </w:rPr>
        <w:t>gas modeling</w:t>
      </w:r>
      <w:proofErr w:type="gramEnd"/>
      <w:r>
        <w:rPr>
          <w:lang w:val="en-US"/>
        </w:rPr>
        <w:t xml:space="preserve"> framework is</w:t>
      </w:r>
      <w:r w:rsidR="009F4F06" w:rsidRPr="00290959">
        <w:rPr>
          <w:lang w:val="en-US"/>
        </w:rPr>
        <w:t xml:space="preserve"> an optimization model </w:t>
      </w:r>
      <w:r>
        <w:rPr>
          <w:lang w:val="en-US"/>
        </w:rPr>
        <w:t>which</w:t>
      </w:r>
      <w:r w:rsidR="009F4F06" w:rsidRPr="00290959">
        <w:rPr>
          <w:lang w:val="en-US"/>
        </w:rPr>
        <w:t xml:space="preserve"> determine</w:t>
      </w:r>
      <w:r>
        <w:rPr>
          <w:lang w:val="en-US"/>
        </w:rPr>
        <w:t>s</w:t>
      </w:r>
      <w:r w:rsidR="009F4F06" w:rsidRPr="00290959">
        <w:rPr>
          <w:lang w:val="en-US"/>
        </w:rPr>
        <w:t xml:space="preserve"> </w:t>
      </w:r>
      <w:r w:rsidR="00AF5755">
        <w:rPr>
          <w:lang w:val="en-US"/>
        </w:rPr>
        <w:t xml:space="preserve">the </w:t>
      </w:r>
      <w:r w:rsidR="00290959" w:rsidRPr="00290959">
        <w:rPr>
          <w:lang w:val="en-US"/>
        </w:rPr>
        <w:t xml:space="preserve">cost-optimal development of the existing gas network infrastructure. Thereby, the objective function </w:t>
      </w:r>
      <w:proofErr w:type="gramStart"/>
      <w:r w:rsidR="00290959" w:rsidRPr="00290959">
        <w:rPr>
          <w:lang w:val="en-US"/>
        </w:rPr>
        <w:t>can be written</w:t>
      </w:r>
      <w:proofErr w:type="gramEnd"/>
      <w:r w:rsidR="00290959" w:rsidRPr="00290959">
        <w:rPr>
          <w:lang w:val="en-US"/>
        </w:rPr>
        <w:t xml:space="preserve"> as follows</w:t>
      </w:r>
      <w:r w:rsidR="00FE43CC">
        <w:rPr>
          <w:lang w:val="en-US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531"/>
      </w:tblGrid>
      <w:tr w:rsidR="00FA20B7" w:rsidRPr="003D54AC" w14:paraId="14E22549" w14:textId="77777777" w:rsidTr="008D7574">
        <w:tc>
          <w:tcPr>
            <w:tcW w:w="8755" w:type="dxa"/>
            <w:vAlign w:val="center"/>
          </w:tcPr>
          <w:p w14:paraId="05FC22B4" w14:textId="07DB32CB" w:rsidR="008D7574" w:rsidRPr="00290959" w:rsidRDefault="007E6577" w:rsidP="005E0AAF">
            <w:pPr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capex+opex-rev</m:t>
                    </m:r>
                  </m:e>
                </m:func>
              </m:oMath>
            </m:oMathPara>
          </w:p>
        </w:tc>
        <w:tc>
          <w:tcPr>
            <w:tcW w:w="533" w:type="dxa"/>
            <w:vAlign w:val="center"/>
          </w:tcPr>
          <w:p w14:paraId="34CC18DA" w14:textId="6C20D569" w:rsidR="008D7574" w:rsidRPr="00290959" w:rsidRDefault="008D7574" w:rsidP="008D7574">
            <w:pPr>
              <w:jc w:val="center"/>
              <w:rPr>
                <w:lang w:val="en-US"/>
              </w:rPr>
            </w:pPr>
            <w:r w:rsidRPr="00290959">
              <w:rPr>
                <w:lang w:val="en-US"/>
              </w:rPr>
              <w:t>(1)</w:t>
            </w:r>
          </w:p>
        </w:tc>
      </w:tr>
    </w:tbl>
    <w:p w14:paraId="17D9C392" w14:textId="708C489B" w:rsidR="00A537CB" w:rsidRPr="00B751AE" w:rsidRDefault="00A02F2E" w:rsidP="003543B3">
      <w:pPr>
        <w:rPr>
          <w:lang w:val="en-US"/>
        </w:rPr>
      </w:pPr>
      <w:proofErr w:type="gramStart"/>
      <w:r w:rsidRPr="00B751AE">
        <w:rPr>
          <w:lang w:val="en-US"/>
        </w:rPr>
        <w:t>where</w:t>
      </w:r>
      <w:proofErr w:type="gramEnd"/>
      <w:r w:rsidRPr="00B751A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capex</m:t>
        </m:r>
      </m:oMath>
      <w:r w:rsidR="00290959" w:rsidRPr="00B751AE">
        <w:rPr>
          <w:lang w:val="en-US"/>
        </w:rPr>
        <w:t xml:space="preserve"> </w:t>
      </w:r>
      <w:r w:rsidR="00543A09" w:rsidRPr="00B751AE">
        <w:rPr>
          <w:lang w:val="en-US"/>
        </w:rPr>
        <w:t xml:space="preserve">are the capital costs (i.e., weighted average cost of capital (wacc) times asset’s book value), </w:t>
      </w:r>
      <m:oMath>
        <m:r>
          <w:rPr>
            <w:rFonts w:ascii="Cambria Math" w:hAnsi="Cambria Math"/>
            <w:lang w:val="en-US"/>
          </w:rPr>
          <m:t>opex</m:t>
        </m:r>
      </m:oMath>
      <w:r w:rsidR="00543A09" w:rsidRPr="00B751AE">
        <w:rPr>
          <w:lang w:val="en-US"/>
        </w:rPr>
        <w:t xml:space="preserve"> the operational costs (mainly fixed cost), and </w:t>
      </w:r>
      <m:oMath>
        <m:r>
          <w:rPr>
            <w:rFonts w:ascii="Cambria Math" w:hAnsi="Cambria Math"/>
            <w:lang w:val="en-US"/>
          </w:rPr>
          <m:t>rev</m:t>
        </m:r>
      </m:oMath>
      <w:r w:rsidR="00543A09" w:rsidRPr="00B751AE">
        <w:rPr>
          <w:lang w:val="en-US"/>
        </w:rPr>
        <w:t xml:space="preserve"> are the revenues associated </w:t>
      </w:r>
      <w:r w:rsidR="007306BD">
        <w:rPr>
          <w:lang w:val="en-US"/>
        </w:rPr>
        <w:t xml:space="preserve">with </w:t>
      </w:r>
      <w:r w:rsidR="00543A09" w:rsidRPr="00B751AE">
        <w:rPr>
          <w:lang w:val="en-US"/>
        </w:rPr>
        <w:t xml:space="preserve">the </w:t>
      </w:r>
      <w:r w:rsidR="007306BD">
        <w:rPr>
          <w:lang w:val="en-US"/>
        </w:rPr>
        <w:t xml:space="preserve">demand </w:t>
      </w:r>
      <w:r w:rsidR="00543A09" w:rsidRPr="00B751AE">
        <w:rPr>
          <w:lang w:val="en-US"/>
        </w:rPr>
        <w:t>coverage and transmission of natural gas at a specific</w:t>
      </w:r>
      <w:r w:rsidR="00FE43CC">
        <w:rPr>
          <w:lang w:val="en-US"/>
        </w:rPr>
        <w:t xml:space="preserve"> gas network level. Exemplarily, </w:t>
      </w:r>
      <w:r w:rsidR="00F77448">
        <w:rPr>
          <w:lang w:val="en-US"/>
        </w:rPr>
        <w:t xml:space="preserve">the capital costs of a specific asset </w:t>
      </w:r>
      <m:oMath>
        <m:r>
          <w:rPr>
            <w:rFonts w:ascii="Cambria Math" w:hAnsi="Cambria Math"/>
            <w:lang w:val="en-US"/>
          </w:rPr>
          <m:t>l</m:t>
        </m:r>
      </m:oMath>
      <w:r w:rsidR="00F77448">
        <w:rPr>
          <w:lang w:val="en-US"/>
        </w:rPr>
        <w:t xml:space="preserve"> in year </w:t>
      </w:r>
      <m:oMath>
        <m:r>
          <w:rPr>
            <w:rFonts w:ascii="Cambria Math" w:hAnsi="Cambria Math"/>
            <w:lang w:val="en-US"/>
          </w:rPr>
          <m:t>y</m:t>
        </m:r>
      </m:oMath>
      <w:r w:rsidR="00F7744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capex</m:t>
            </m:r>
          </m:e>
          <m:sub>
            <m:r>
              <w:rPr>
                <w:rFonts w:ascii="Cambria Math" w:hAnsi="Cambria Math"/>
                <w:lang w:val="en-US"/>
              </w:rPr>
              <m:t>l,y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FE43CC">
        <w:rPr>
          <w:lang w:val="en-US"/>
        </w:rPr>
        <w:t xml:space="preserve"> </w:t>
      </w:r>
      <w:proofErr w:type="gramStart"/>
      <w:r w:rsidR="00FE43CC">
        <w:rPr>
          <w:lang w:val="en-US"/>
        </w:rPr>
        <w:t>are calculated</w:t>
      </w:r>
      <w:proofErr w:type="gramEnd"/>
      <w:r w:rsidR="00FE43CC">
        <w:rPr>
          <w:lang w:val="en-US"/>
        </w:rPr>
        <w:t xml:space="preserve"> as below: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531"/>
      </w:tblGrid>
      <w:tr w:rsidR="00AF1CD3" w:rsidRPr="003D54AC" w14:paraId="05096B99" w14:textId="77777777" w:rsidTr="00C94D1A">
        <w:tc>
          <w:tcPr>
            <w:tcW w:w="8755" w:type="dxa"/>
            <w:vAlign w:val="center"/>
          </w:tcPr>
          <w:p w14:paraId="4145993E" w14:textId="2FF756DE" w:rsidR="00AF1CD3" w:rsidRPr="006558A7" w:rsidRDefault="007E6577" w:rsidP="006558A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capex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l,y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=wacc∙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l,y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init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l,y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533" w:type="dxa"/>
            <w:vAlign w:val="center"/>
          </w:tcPr>
          <w:p w14:paraId="2614BFA9" w14:textId="7E16D372" w:rsidR="00AF1CD3" w:rsidRPr="006558A7" w:rsidRDefault="00AF1CD3" w:rsidP="00AF1CD3">
            <w:pPr>
              <w:jc w:val="center"/>
              <w:rPr>
                <w:lang w:val="en-US"/>
              </w:rPr>
            </w:pPr>
            <w:r w:rsidRPr="006558A7">
              <w:rPr>
                <w:lang w:val="en-US"/>
              </w:rPr>
              <w:t>(2)</w:t>
            </w:r>
          </w:p>
        </w:tc>
      </w:tr>
    </w:tbl>
    <w:p w14:paraId="7DE836BD" w14:textId="10065592" w:rsidR="00A24652" w:rsidRDefault="00F77448" w:rsidP="00511C76">
      <w:pPr>
        <w:pStyle w:val="berschrift1"/>
        <w:rPr>
          <w:lang w:val="en-US"/>
        </w:rPr>
      </w:pPr>
      <w:proofErr w:type="gramStart"/>
      <w:r w:rsidRPr="00EE5654">
        <w:rPr>
          <w:rFonts w:cs="Times New Roman"/>
          <w:b w:val="0"/>
          <w:bCs w:val="0"/>
          <w:kern w:val="0"/>
          <w:sz w:val="20"/>
          <w:szCs w:val="24"/>
          <w:lang w:val="en-US"/>
        </w:rPr>
        <w:t>where</w:t>
      </w:r>
      <w:proofErr w:type="gramEnd"/>
      <w:r w:rsidRPr="00EE5654">
        <w:rPr>
          <w:rFonts w:cs="Times New Roman"/>
          <w:b w:val="0"/>
          <w:bCs w:val="0"/>
          <w:kern w:val="0"/>
          <w:sz w:val="20"/>
          <w:szCs w:val="24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b w:val="0"/>
                <w:bCs w:val="0"/>
                <w:i/>
                <w:kern w:val="0"/>
                <w:sz w:val="20"/>
                <w:szCs w:val="20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l,y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init</m:t>
            </m:r>
          </m:sup>
        </m:sSubSup>
      </m:oMath>
      <w:r w:rsidR="003B14D1" w:rsidRPr="00EE5654">
        <w:rPr>
          <w:rFonts w:cs="Times New Roman"/>
          <w:b w:val="0"/>
          <w:bCs w:val="0"/>
          <w:kern w:val="0"/>
          <w:sz w:val="20"/>
          <w:szCs w:val="24"/>
          <w:lang w:val="en-US"/>
        </w:rPr>
        <w:t xml:space="preserve"> is</w:t>
      </w:r>
      <w:r w:rsidR="003B14D1">
        <w:rPr>
          <w:rFonts w:cs="Times New Roman"/>
          <w:b w:val="0"/>
          <w:bCs w:val="0"/>
          <w:kern w:val="0"/>
          <w:sz w:val="20"/>
          <w:szCs w:val="24"/>
          <w:lang w:val="en-US"/>
        </w:rPr>
        <w:t xml:space="preserve"> the book value of the initial (existing) asset, </w:t>
      </w:r>
      <m:oMath>
        <m:sSubSup>
          <m:sSubSupPr>
            <m:ctrlPr>
              <w:rPr>
                <w:rFonts w:ascii="Cambria Math" w:hAnsi="Cambria Math" w:cs="Times New Roman"/>
                <w:b w:val="0"/>
                <w:bCs w:val="0"/>
                <w:i/>
                <w:kern w:val="0"/>
                <w:sz w:val="20"/>
                <w:szCs w:val="20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inv</m:t>
            </m:r>
          </m:sup>
        </m:sSubSup>
      </m:oMath>
      <w:r w:rsidR="003B14D1">
        <w:rPr>
          <w:rFonts w:cs="Times New Roman"/>
          <w:b w:val="0"/>
          <w:bCs w:val="0"/>
          <w:kern w:val="0"/>
          <w:sz w:val="20"/>
          <w:szCs w:val="24"/>
          <w:lang w:val="en-US"/>
        </w:rPr>
        <w:t xml:space="preserve"> the depreciation factor of the refurbishment investment, </w:t>
      </w:r>
      <m:oMath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kern w:val="0"/>
                <w:sz w:val="20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inv</m:t>
            </m:r>
          </m:sup>
        </m:sSup>
      </m:oMath>
      <w:r w:rsidR="003B14D1">
        <w:rPr>
          <w:rFonts w:cs="Times New Roman"/>
          <w:b w:val="0"/>
          <w:bCs w:val="0"/>
          <w:kern w:val="0"/>
          <w:sz w:val="20"/>
          <w:szCs w:val="24"/>
          <w:lang w:val="en-US"/>
        </w:rPr>
        <w:t xml:space="preserve"> the specific refurbishment investment costs, and </w:t>
      </w:r>
      <m:oMath>
        <m:sSubSup>
          <m:sSubSupPr>
            <m:ctrlPr>
              <w:rPr>
                <w:rFonts w:ascii="Cambria Math" w:hAnsi="Cambria Math" w:cs="Times New Roman"/>
                <w:b w:val="0"/>
                <w:bCs w:val="0"/>
                <w:i/>
                <w:kern w:val="0"/>
                <w:sz w:val="20"/>
                <w:szCs w:val="20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Υ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l,y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inv</m:t>
            </m:r>
          </m:sup>
        </m:sSubSup>
      </m:oMath>
      <w:r w:rsidR="003B14D1">
        <w:rPr>
          <w:rFonts w:cs="Times New Roman"/>
          <w:b w:val="0"/>
          <w:bCs w:val="0"/>
          <w:kern w:val="0"/>
          <w:sz w:val="20"/>
          <w:szCs w:val="24"/>
          <w:lang w:val="en-US"/>
        </w:rPr>
        <w:t xml:space="preserve"> the asset’s refurbished installed capacity. </w:t>
      </w:r>
      <w:r w:rsidR="00511C76">
        <w:rPr>
          <w:rFonts w:cs="Times New Roman"/>
          <w:b w:val="0"/>
          <w:bCs w:val="0"/>
          <w:kern w:val="0"/>
          <w:sz w:val="20"/>
          <w:szCs w:val="24"/>
          <w:lang w:val="en-US"/>
        </w:rPr>
        <w:t>Equation (3) shows the gas balance constraint at the nodal level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531"/>
      </w:tblGrid>
      <w:tr w:rsidR="00AB09C0" w:rsidRPr="003D54AC" w14:paraId="00B3B764" w14:textId="77777777" w:rsidTr="00B83B2A">
        <w:tc>
          <w:tcPr>
            <w:tcW w:w="8755" w:type="dxa"/>
            <w:vAlign w:val="center"/>
          </w:tcPr>
          <w:p w14:paraId="27CE21CE" w14:textId="22AE0DDC" w:rsidR="00AB09C0" w:rsidRPr="006558A7" w:rsidRDefault="007E6577" w:rsidP="00511C76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n,y,t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src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n,s,y,t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dem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n,s,y,t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exp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n,s,y,t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imp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533" w:type="dxa"/>
            <w:vAlign w:val="center"/>
          </w:tcPr>
          <w:p w14:paraId="29F3954F" w14:textId="38B7464F" w:rsidR="00511C76" w:rsidRPr="006558A7" w:rsidRDefault="00AB09C0" w:rsidP="00511C76">
            <w:pPr>
              <w:jc w:val="center"/>
              <w:rPr>
                <w:lang w:val="en-US"/>
              </w:rPr>
            </w:pPr>
            <w:r w:rsidRPr="006558A7"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 w:rsidRPr="006558A7">
              <w:rPr>
                <w:lang w:val="en-US"/>
              </w:rPr>
              <w:t>)</w:t>
            </w:r>
          </w:p>
        </w:tc>
      </w:tr>
    </w:tbl>
    <w:p w14:paraId="2D4A489E" w14:textId="5726EC64" w:rsidR="00F43F78" w:rsidRDefault="00511C76" w:rsidP="00C60876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n,y,t</m:t>
            </m:r>
          </m:sub>
          <m:sup>
            <m:r>
              <w:rPr>
                <w:rFonts w:ascii="Cambria Math" w:hAnsi="Cambria Math"/>
                <w:lang w:val="en-US"/>
              </w:rPr>
              <m:t>src</m:t>
            </m:r>
          </m:sup>
        </m:sSubSup>
      </m:oMath>
      <w:r>
        <w:rPr>
          <w:lang w:val="en-US"/>
        </w:rPr>
        <w:t xml:space="preserve"> is the source of gas at node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at time step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per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lang w:val="en-US"/>
        </w:rPr>
        <w:t xml:space="preserve">. In addition,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n,s,y,t</m:t>
            </m:r>
          </m:sub>
          <m:sup>
            <m:r>
              <w:rPr>
                <w:rFonts w:ascii="Cambria Math" w:hAnsi="Cambria Math"/>
                <w:lang w:val="en-US"/>
              </w:rPr>
              <m:t>dem</m:t>
            </m:r>
          </m:sup>
        </m:sSubSup>
      </m:oMath>
      <w:r>
        <w:rPr>
          <w:lang w:val="en-US"/>
        </w:rPr>
        <w:t xml:space="preserve"> is the amount of gas demand covered at a specific network level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 xml:space="preserve"> per </w:t>
      </w:r>
      <m:oMath>
        <m:r>
          <w:rPr>
            <w:rFonts w:ascii="Cambria Math" w:hAnsi="Cambria Math"/>
            <w:lang w:val="en-US"/>
          </w:rPr>
          <m:t>n, y</m:t>
        </m:r>
      </m:oMath>
      <w:r>
        <w:rPr>
          <w:lang w:val="en-US"/>
        </w:rPr>
        <w:t xml:space="preserve"> </w:t>
      </w:r>
      <w:proofErr w:type="gramStart"/>
      <w:r w:rsidR="00567EDB">
        <w:rPr>
          <w:lang w:val="en-US"/>
        </w:rPr>
        <w:t xml:space="preserve">and </w:t>
      </w:r>
      <w:proofErr w:type="gramEnd"/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. </w:t>
      </w:r>
      <w:r w:rsidR="00DE641A">
        <w:rPr>
          <w:lang w:val="en-US"/>
        </w:rPr>
        <w:t xml:space="preserve">The decision variables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n,s,y,t</m:t>
            </m:r>
          </m:sub>
          <m:sup>
            <m:r>
              <w:rPr>
                <w:rFonts w:ascii="Cambria Math" w:hAnsi="Cambria Math"/>
                <w:lang w:val="en-US"/>
              </w:rPr>
              <m:t>exp</m:t>
            </m:r>
          </m:sup>
        </m:sSubSup>
      </m:oMath>
      <w:r w:rsidR="00F43F78">
        <w:rPr>
          <w:lang w:val="en-US"/>
        </w:rPr>
        <w:t xml:space="preserve"> </w:t>
      </w:r>
      <w:r w:rsidR="00DE641A">
        <w:rPr>
          <w:lang w:val="en-US"/>
        </w:rPr>
        <w:t>and</w:t>
      </w:r>
      <w:r w:rsidR="00F43F78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n,s,y,t</m:t>
            </m:r>
          </m:sub>
          <m:sup>
            <m:r>
              <w:rPr>
                <w:rFonts w:ascii="Cambria Math" w:hAnsi="Cambria Math"/>
                <w:lang w:val="en-US"/>
              </w:rPr>
              <m:t>imp</m:t>
            </m:r>
          </m:sup>
        </m:sSubSup>
      </m:oMath>
      <w:r w:rsidR="00F43F78">
        <w:rPr>
          <w:lang w:val="en-US"/>
        </w:rPr>
        <w:t xml:space="preserve"> are the amount of gas exported and imported respectively. </w:t>
      </w:r>
    </w:p>
    <w:p w14:paraId="31FC5B2D" w14:textId="45F9DBDC" w:rsidR="003D54AC" w:rsidRDefault="00AF4156" w:rsidP="0055202A">
      <w:pPr>
        <w:rPr>
          <w:lang w:val="en-US"/>
        </w:rPr>
      </w:pPr>
      <w:r w:rsidRPr="00FD5C75">
        <w:rPr>
          <w:lang w:val="en-US"/>
        </w:rPr>
        <w:lastRenderedPageBreak/>
        <w:t>In terms of materials</w:t>
      </w:r>
      <w:r w:rsidR="00573871">
        <w:rPr>
          <w:lang w:val="en-US"/>
        </w:rPr>
        <w:t xml:space="preserve"> and data</w:t>
      </w:r>
      <w:r w:rsidRPr="00FD5C75">
        <w:rPr>
          <w:lang w:val="en-US"/>
        </w:rPr>
        <w:t xml:space="preserve">, we particularly </w:t>
      </w:r>
      <w:r w:rsidR="0091238B" w:rsidRPr="00FD5C75">
        <w:rPr>
          <w:lang w:val="en-US"/>
        </w:rPr>
        <w:t xml:space="preserve">build upon the existing open-source tool </w:t>
      </w:r>
      <w:r w:rsidR="0091238B" w:rsidRPr="00FD5C75">
        <w:rPr>
          <w:i/>
          <w:noProof/>
          <w:szCs w:val="20"/>
          <w:lang w:val="en-US"/>
        </w:rPr>
        <w:t>es</w:t>
      </w:r>
      <w:r w:rsidR="0091238B" w:rsidRPr="0091238B">
        <w:rPr>
          <w:i/>
          <w:noProof/>
          <w:szCs w:val="20"/>
          <w:lang w:val="en-US"/>
        </w:rPr>
        <w:t>y-osmfilter</w:t>
      </w:r>
      <w:r w:rsidR="0091238B">
        <w:rPr>
          <w:i/>
          <w:noProof/>
          <w:szCs w:val="20"/>
          <w:lang w:val="en-US"/>
        </w:rPr>
        <w:t xml:space="preserve"> </w:t>
      </w:r>
      <w:r w:rsidR="0091238B" w:rsidRPr="00290959">
        <w:rPr>
          <w:lang w:val="en-US"/>
        </w:rPr>
        <w:t>[4</w:t>
      </w:r>
      <w:r w:rsidR="00AB0C9C" w:rsidRPr="00290959">
        <w:rPr>
          <w:lang w:val="en-US"/>
        </w:rPr>
        <w:t>]</w:t>
      </w:r>
      <w:r w:rsidR="00AB0C9C">
        <w:rPr>
          <w:lang w:val="en-US"/>
        </w:rPr>
        <w:t>, which</w:t>
      </w:r>
      <w:r w:rsidR="0091238B">
        <w:rPr>
          <w:lang w:val="en-US"/>
        </w:rPr>
        <w:t xml:space="preserve"> provides relevant data of the existing gas networ</w:t>
      </w:r>
      <w:r w:rsidR="00D677A8">
        <w:rPr>
          <w:lang w:val="en-US"/>
        </w:rPr>
        <w:t xml:space="preserve">k at high spatial resolution. Besides, </w:t>
      </w:r>
      <w:r w:rsidR="00474406">
        <w:rPr>
          <w:lang w:val="en-US"/>
        </w:rPr>
        <w:t xml:space="preserve">the open-data platform </w:t>
      </w:r>
      <w:r w:rsidR="00474406" w:rsidRPr="00474406">
        <w:rPr>
          <w:i/>
          <w:lang w:val="en-US"/>
        </w:rPr>
        <w:t>energiemosaik</w:t>
      </w:r>
      <w:r w:rsidR="00474406">
        <w:rPr>
          <w:i/>
          <w:lang w:val="en-US"/>
        </w:rPr>
        <w:t xml:space="preserve"> (</w:t>
      </w:r>
      <w:hyperlink r:id="rId8" w:history="1">
        <w:r w:rsidR="00474406" w:rsidRPr="008A7E0C">
          <w:rPr>
            <w:rStyle w:val="Hyperlink"/>
            <w:i/>
            <w:lang w:val="en-US"/>
          </w:rPr>
          <w:t>https://www.energiemosaik.at/intro</w:t>
        </w:r>
      </w:hyperlink>
      <w:r w:rsidR="00474406">
        <w:rPr>
          <w:i/>
          <w:lang w:val="en-US"/>
        </w:rPr>
        <w:t>)</w:t>
      </w:r>
      <w:r w:rsidR="0055202A">
        <w:rPr>
          <w:i/>
          <w:lang w:val="en-US"/>
        </w:rPr>
        <w:t xml:space="preserve"> </w:t>
      </w:r>
      <w:r w:rsidR="0055202A" w:rsidRPr="0055202A">
        <w:rPr>
          <w:lang w:val="en-US"/>
        </w:rPr>
        <w:t>provides</w:t>
      </w:r>
      <w:r w:rsidR="0055202A">
        <w:rPr>
          <w:lang w:val="en-US"/>
        </w:rPr>
        <w:t xml:space="preserve"> relevant data for this analysis in the context of high-spatial resolved gas demand. </w:t>
      </w:r>
    </w:p>
    <w:p w14:paraId="52B7A963" w14:textId="0AF69D47" w:rsidR="000976D1" w:rsidRDefault="00877301" w:rsidP="00DB4127">
      <w:pPr>
        <w:pStyle w:val="berschrift1"/>
        <w:rPr>
          <w:lang w:val="en-US"/>
        </w:rPr>
      </w:pPr>
      <w:r>
        <w:rPr>
          <w:lang w:val="en-US"/>
        </w:rPr>
        <w:t>Preliminary r</w:t>
      </w:r>
      <w:r w:rsidR="00DB4127" w:rsidRPr="00DB4127">
        <w:rPr>
          <w:lang w:val="en-US"/>
        </w:rPr>
        <w:t>esults and conclusions</w:t>
      </w:r>
    </w:p>
    <w:p w14:paraId="2293A18A" w14:textId="2B2DF5A0" w:rsidR="00824559" w:rsidRDefault="00DF6824" w:rsidP="00F30712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0560" behindDoc="0" locked="0" layoutInCell="1" allowOverlap="1" wp14:anchorId="07BD9B22" wp14:editId="21043955">
            <wp:simplePos x="0" y="0"/>
            <wp:positionH relativeFrom="margin">
              <wp:posOffset>53975</wp:posOffset>
            </wp:positionH>
            <wp:positionV relativeFrom="paragraph">
              <wp:posOffset>1133021</wp:posOffset>
            </wp:positionV>
            <wp:extent cx="2239645" cy="2000250"/>
            <wp:effectExtent l="19050" t="19050" r="27305" b="1905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2000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5" behindDoc="0" locked="0" layoutInCell="1" allowOverlap="1" wp14:anchorId="5079C780" wp14:editId="1513459B">
                <wp:simplePos x="0" y="0"/>
                <wp:positionH relativeFrom="margin">
                  <wp:posOffset>59871</wp:posOffset>
                </wp:positionH>
                <wp:positionV relativeFrom="paragraph">
                  <wp:posOffset>3232059</wp:posOffset>
                </wp:positionV>
                <wp:extent cx="2286000" cy="409575"/>
                <wp:effectExtent l="0" t="0" r="0" b="9525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9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6518E" w14:textId="30C1CC2A" w:rsidR="00621634" w:rsidRPr="000B051A" w:rsidRDefault="00621634" w:rsidP="00D807A4">
                            <w:pPr>
                              <w:pStyle w:val="Beschriftung"/>
                              <w:jc w:val="center"/>
                              <w:rPr>
                                <w:rFonts w:cs="Arial"/>
                                <w:b/>
                                <w:bCs/>
                                <w:noProof/>
                                <w:color w:val="auto"/>
                                <w:kern w:val="32"/>
                                <w:sz w:val="24"/>
                                <w:lang w:val="en-US"/>
                              </w:rPr>
                            </w:pPr>
                            <w:r w:rsidRPr="000B051A">
                              <w:rPr>
                                <w:lang w:val="en-US"/>
                              </w:rPr>
                              <w:t xml:space="preserve">Figure </w:t>
                            </w:r>
                            <w:proofErr w:type="gramStart"/>
                            <w:r w:rsidR="0013734F">
                              <w:rPr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0B051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639CC">
                              <w:rPr>
                                <w:lang w:val="en-US"/>
                              </w:rPr>
                              <w:t xml:space="preserve">Simple gas network </w:t>
                            </w:r>
                            <w:r w:rsidR="00703580">
                              <w:rPr>
                                <w:lang w:val="en-US"/>
                              </w:rPr>
                              <w:br/>
                            </w:r>
                            <w:r w:rsidR="005639CC">
                              <w:rPr>
                                <w:lang w:val="en-US"/>
                              </w:rPr>
                              <w:t>(three nodes and two lines)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9C780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4.7pt;margin-top:254.5pt;width:180pt;height:32.25pt;z-index:2516495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" stroked="f">
                <v:textbox inset="0,0,0,0">
                  <w:txbxContent>
                    <w:p w14:paraId="03C6518E" w14:textId="30C1CC2A" w:rsidR="00621634" w:rsidRPr="000B051A" w:rsidRDefault="00621634" w:rsidP="00D807A4">
                      <w:pPr>
                        <w:pStyle w:val="Beschriftung"/>
                        <w:jc w:val="center"/>
                        <w:rPr>
                          <w:rFonts w:cs="Arial"/>
                          <w:b/>
                          <w:bCs/>
                          <w:noProof/>
                          <w:color w:val="auto"/>
                          <w:kern w:val="32"/>
                          <w:sz w:val="24"/>
                          <w:lang w:val="en-US"/>
                        </w:rPr>
                      </w:pPr>
                      <w:r w:rsidRPr="000B051A">
                        <w:rPr>
                          <w:lang w:val="en-US"/>
                        </w:rPr>
                        <w:t xml:space="preserve">Figure </w:t>
                      </w:r>
                      <w:proofErr w:type="gramStart"/>
                      <w:r w:rsidR="0013734F">
                        <w:rPr>
                          <w:lang w:val="en-US"/>
                        </w:rPr>
                        <w:t>1</w:t>
                      </w:r>
                      <w:proofErr w:type="gramEnd"/>
                      <w:r w:rsidRPr="000B051A">
                        <w:rPr>
                          <w:lang w:val="en-US"/>
                        </w:rPr>
                        <w:t xml:space="preserve"> </w:t>
                      </w:r>
                      <w:r w:rsidR="005639CC">
                        <w:rPr>
                          <w:lang w:val="en-US"/>
                        </w:rPr>
                        <w:t xml:space="preserve">Simple gas network </w:t>
                      </w:r>
                      <w:r w:rsidR="00703580">
                        <w:rPr>
                          <w:lang w:val="en-US"/>
                        </w:rPr>
                        <w:br/>
                      </w:r>
                      <w:r w:rsidR="005639CC">
                        <w:rPr>
                          <w:lang w:val="en-US"/>
                        </w:rPr>
                        <w:t>(three nodes and two lines)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639C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B7383" wp14:editId="4CEC38C3">
                <wp:simplePos x="0" y="0"/>
                <wp:positionH relativeFrom="margin">
                  <wp:posOffset>2400300</wp:posOffset>
                </wp:positionH>
                <wp:positionV relativeFrom="paragraph">
                  <wp:posOffset>3232150</wp:posOffset>
                </wp:positionV>
                <wp:extent cx="3317240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4A8F7" w14:textId="5AA9E711" w:rsidR="005639CC" w:rsidRPr="005639CC" w:rsidRDefault="005639CC" w:rsidP="005639CC">
                            <w:pPr>
                              <w:jc w:val="center"/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39CC"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Figure </w:t>
                            </w:r>
                            <w:proofErr w:type="gramStart"/>
                            <w:r w:rsidRPr="005639CC"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5639CC"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D7FED"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>Gas supply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 at the different nodes for varying demand and </w:t>
                            </w:r>
                            <w:r w:rsidR="00EF64E3"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>wacc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D7FED"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>parameter assumptions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B7383" id="Textfeld 2" o:spid="_x0000_s1027" type="#_x0000_t202" style="position:absolute;left:0;text-align:left;margin-left:189pt;margin-top:254.5pt;width:261.2pt;height: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" stroked="f">
                <v:textbox style="mso-fit-shape-to-text:t" inset="0,0,0,0">
                  <w:txbxContent>
                    <w:p w14:paraId="02C4A8F7" w14:textId="5AA9E711" w:rsidR="005639CC" w:rsidRPr="005639CC" w:rsidRDefault="005639CC" w:rsidP="005639CC">
                      <w:pPr>
                        <w:jc w:val="center"/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</w:pPr>
                      <w:r w:rsidRPr="005639CC"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  <w:t xml:space="preserve">Figure </w:t>
                      </w:r>
                      <w:proofErr w:type="gramStart"/>
                      <w:r w:rsidRPr="005639CC"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  <w:t>2</w:t>
                      </w:r>
                      <w:proofErr w:type="gramEnd"/>
                      <w:r w:rsidRPr="005639CC"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D7FED"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  <w:t>Gas supply</w:t>
                      </w:r>
                      <w:r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  <w:t xml:space="preserve"> at the different nodes for varying demand and </w:t>
                      </w:r>
                      <w:r w:rsidR="00EF64E3"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  <w:t>wacc</w:t>
                      </w:r>
                      <w:r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D7FED">
                        <w:rPr>
                          <w:i/>
                          <w:iCs/>
                          <w:color w:val="1F497D" w:themeColor="text2"/>
                          <w:sz w:val="18"/>
                          <w:szCs w:val="18"/>
                          <w:lang w:val="en-US"/>
                        </w:rPr>
                        <w:t>parameter assumptions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639CC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E197E95" wp14:editId="28D0DC23">
            <wp:simplePos x="0" y="0"/>
            <wp:positionH relativeFrom="margin">
              <wp:posOffset>2396581</wp:posOffset>
            </wp:positionH>
            <wp:positionV relativeFrom="paragraph">
              <wp:posOffset>722630</wp:posOffset>
            </wp:positionV>
            <wp:extent cx="3308985" cy="2415540"/>
            <wp:effectExtent l="19050" t="19050" r="24765" b="2286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415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34F">
        <w:rPr>
          <w:lang w:val="en-US"/>
        </w:rPr>
        <w:t>W</w:t>
      </w:r>
      <w:r w:rsidR="0052061A" w:rsidRPr="0052061A">
        <w:rPr>
          <w:lang w:val="en-US"/>
        </w:rPr>
        <w:t>e illustrate the functionality and present preliminary results of the model using a simplified network (see in Fig</w:t>
      </w:r>
      <w:r w:rsidR="00742F72">
        <w:rPr>
          <w:lang w:val="en-US"/>
        </w:rPr>
        <w:t>ure</w:t>
      </w:r>
      <w:r w:rsidR="0052061A" w:rsidRPr="0052061A">
        <w:rPr>
          <w:lang w:val="en-US"/>
        </w:rPr>
        <w:t xml:space="preserve"> 1). The network consists of three nodes (A, B, and C) and two lines (L1 and L2). The planning horizon is between 2020 and 2030, whereby both lines require a refurbishment investment in 2025 in order to provide the gas demand. Node A is the source node in this network.</w:t>
      </w:r>
    </w:p>
    <w:p w14:paraId="01339756" w14:textId="4D3302E9" w:rsidR="00BB0358" w:rsidRDefault="003B4F08" w:rsidP="00F30712">
      <w:pPr>
        <w:rPr>
          <w:lang w:val="en-US"/>
        </w:rPr>
      </w:pPr>
      <w:r w:rsidRPr="003B4F08">
        <w:rPr>
          <w:lang w:val="en-US"/>
        </w:rPr>
        <w:t>Fig</w:t>
      </w:r>
      <w:r w:rsidR="00742F72">
        <w:rPr>
          <w:lang w:val="en-US"/>
        </w:rPr>
        <w:t>ure</w:t>
      </w:r>
      <w:r w:rsidRPr="003B4F08">
        <w:rPr>
          <w:lang w:val="en-US"/>
        </w:rPr>
        <w:t xml:space="preserve"> 2</w:t>
      </w:r>
      <w:r w:rsidR="00742F72">
        <w:rPr>
          <w:lang w:val="en-US"/>
        </w:rPr>
        <w:t xml:space="preserve"> shows the nodal gas supply for varying gas demand and wacc parameter assumptions. </w:t>
      </w:r>
      <w:r w:rsidR="00FD1058">
        <w:rPr>
          <w:lang w:val="en-US"/>
        </w:rPr>
        <w:t xml:space="preserve">Most importantly, it </w:t>
      </w:r>
      <w:proofErr w:type="gramStart"/>
      <w:r w:rsidR="00FD1058">
        <w:rPr>
          <w:lang w:val="en-US"/>
        </w:rPr>
        <w:t>can be seen</w:t>
      </w:r>
      <w:proofErr w:type="gramEnd"/>
      <w:r w:rsidR="00FD1058">
        <w:rPr>
          <w:lang w:val="en-US"/>
        </w:rPr>
        <w:t xml:space="preserve"> that the </w:t>
      </w:r>
      <w:r w:rsidR="003611DA">
        <w:rPr>
          <w:lang w:val="en-US"/>
        </w:rPr>
        <w:t xml:space="preserve">decision to invest in </w:t>
      </w:r>
      <w:r w:rsidR="00FD1058">
        <w:rPr>
          <w:lang w:val="en-US"/>
        </w:rPr>
        <w:t xml:space="preserve">refurbishment depends on both parameters. In particular, a high demand and low wacc as well as low demand and low wacc result in a refurbishment investment decision </w:t>
      </w:r>
      <w:r w:rsidR="003611DA">
        <w:rPr>
          <w:lang w:val="en-US"/>
        </w:rPr>
        <w:t>for</w:t>
      </w:r>
      <w:r w:rsidR="00FD1058">
        <w:rPr>
          <w:lang w:val="en-US"/>
        </w:rPr>
        <w:t xml:space="preserve"> both lines L1 and L2 (see top left and right subfigure). </w:t>
      </w:r>
      <w:r w:rsidR="00A92036">
        <w:rPr>
          <w:lang w:val="en-US"/>
        </w:rPr>
        <w:t xml:space="preserve">In contrast, </w:t>
      </w:r>
      <w:r w:rsidR="003611DA">
        <w:rPr>
          <w:lang w:val="en-US"/>
        </w:rPr>
        <w:t xml:space="preserve">a high wacc assumption (10%) leads to no investment decision for refurbishment at line L2 independently from the demand development. </w:t>
      </w:r>
      <w:r w:rsidR="00824559">
        <w:rPr>
          <w:lang w:val="en-US"/>
        </w:rPr>
        <w:t>Hence, the existing high (</w:t>
      </w:r>
      <w:r w:rsidR="00187451">
        <w:rPr>
          <w:lang w:val="en-US"/>
        </w:rPr>
        <w:t>and</w:t>
      </w:r>
      <w:r w:rsidR="00824559">
        <w:rPr>
          <w:lang w:val="en-US"/>
        </w:rPr>
        <w:t xml:space="preserve"> low) gas demand at Node C </w:t>
      </w:r>
      <w:proofErr w:type="gramStart"/>
      <w:r w:rsidR="00824559">
        <w:rPr>
          <w:lang w:val="en-US"/>
        </w:rPr>
        <w:t>is not covered</w:t>
      </w:r>
      <w:proofErr w:type="gramEnd"/>
      <w:r w:rsidR="00E127F6">
        <w:rPr>
          <w:lang w:val="en-US"/>
        </w:rPr>
        <w:t xml:space="preserve"> (see bottom left and right subfigure)</w:t>
      </w:r>
      <w:r w:rsidR="007878D7">
        <w:rPr>
          <w:lang w:val="en-US"/>
        </w:rPr>
        <w:t xml:space="preserve"> and L2 is decommissioned. </w:t>
      </w:r>
      <w:r w:rsidR="00B352D3">
        <w:rPr>
          <w:lang w:val="en-US"/>
        </w:rPr>
        <w:t xml:space="preserve">The results indicate that both the future gas demand and wacc are key determining parameters in the context of refurbishment investment and decommissioning decisions. </w:t>
      </w:r>
      <w:r w:rsidR="00AA26ED" w:rsidRPr="00AA26ED">
        <w:rPr>
          <w:lang w:val="en-US"/>
        </w:rPr>
        <w:t xml:space="preserve">At the conference, we will present much more comprehensive results regarding </w:t>
      </w:r>
      <w:r w:rsidR="00BB0358">
        <w:rPr>
          <w:lang w:val="en-US"/>
        </w:rPr>
        <w:t xml:space="preserve">a larger supply area in Austria. Based on this, we will show </w:t>
      </w:r>
      <w:r w:rsidR="00BB0358" w:rsidRPr="00AA26ED">
        <w:rPr>
          <w:lang w:val="en-US"/>
        </w:rPr>
        <w:t xml:space="preserve">which connection lines remain in operation or </w:t>
      </w:r>
      <w:proofErr w:type="gramStart"/>
      <w:r w:rsidR="00BB0358" w:rsidRPr="00AA26ED">
        <w:rPr>
          <w:lang w:val="en-US"/>
        </w:rPr>
        <w:t>a</w:t>
      </w:r>
      <w:r w:rsidR="00BB0358">
        <w:rPr>
          <w:lang w:val="en-US"/>
        </w:rPr>
        <w:t>re</w:t>
      </w:r>
      <w:r w:rsidR="00BB0358" w:rsidRPr="00AA26ED">
        <w:rPr>
          <w:lang w:val="en-US"/>
        </w:rPr>
        <w:t xml:space="preserve"> decommissioned</w:t>
      </w:r>
      <w:proofErr w:type="gramEnd"/>
      <w:r w:rsidR="00D324B3">
        <w:rPr>
          <w:lang w:val="en-US"/>
        </w:rPr>
        <w:t xml:space="preserve"> in the next years. </w:t>
      </w:r>
      <w:bookmarkStart w:id="0" w:name="_GoBack"/>
      <w:bookmarkEnd w:id="0"/>
      <w:r w:rsidR="00BB0358">
        <w:rPr>
          <w:lang w:val="en-US"/>
        </w:rPr>
        <w:t xml:space="preserve"> </w:t>
      </w:r>
      <w:r w:rsidR="00BB0358" w:rsidRPr="00AA26ED">
        <w:rPr>
          <w:lang w:val="en-US"/>
        </w:rPr>
        <w:t xml:space="preserve"> </w:t>
      </w:r>
    </w:p>
    <w:p w14:paraId="523B3FE3" w14:textId="1A0B5D45" w:rsidR="001B6577" w:rsidRPr="001E0B14" w:rsidRDefault="001B6577" w:rsidP="001B6577">
      <w:pPr>
        <w:pStyle w:val="berschrift1"/>
        <w:rPr>
          <w:sz w:val="20"/>
          <w:szCs w:val="20"/>
          <w:lang w:val="en-US"/>
        </w:rPr>
      </w:pPr>
      <w:r w:rsidRPr="001E0B14">
        <w:rPr>
          <w:sz w:val="20"/>
          <w:szCs w:val="20"/>
          <w:lang w:val="en-US"/>
        </w:rPr>
        <w:t>References</w:t>
      </w:r>
    </w:p>
    <w:p w14:paraId="2E5BDE44" w14:textId="7977A78F" w:rsidR="006B5E79" w:rsidRPr="00EF64E3" w:rsidRDefault="001B6577" w:rsidP="00725939">
      <w:pPr>
        <w:rPr>
          <w:noProof/>
          <w:szCs w:val="20"/>
          <w:lang w:val="en-US"/>
        </w:rPr>
      </w:pPr>
      <w:r w:rsidRPr="00EF64E3">
        <w:rPr>
          <w:noProof/>
          <w:szCs w:val="20"/>
          <w:lang w:val="en-US"/>
        </w:rPr>
        <w:t xml:space="preserve">[1] </w:t>
      </w:r>
      <w:r w:rsidR="006B5E79" w:rsidRPr="00EF64E3">
        <w:rPr>
          <w:noProof/>
          <w:szCs w:val="20"/>
          <w:lang w:val="en-US"/>
        </w:rPr>
        <w:t xml:space="preserve">McGlade, C., &amp; Ekins, P. (2015). The geographical distribution of fossil fuels unused when limiting global warming to 2 C. Nature, 517(7533), 187-190, doi: </w:t>
      </w:r>
      <w:hyperlink r:id="rId11" w:history="1">
        <w:r w:rsidR="006B5E79" w:rsidRPr="00EF64E3">
          <w:rPr>
            <w:rStyle w:val="Hyperlink"/>
            <w:noProof/>
            <w:szCs w:val="20"/>
            <w:lang w:val="en-US"/>
          </w:rPr>
          <w:t>https://doi.org/10.1038/nature14016</w:t>
        </w:r>
      </w:hyperlink>
      <w:r w:rsidR="006B5E79" w:rsidRPr="00EF64E3">
        <w:rPr>
          <w:noProof/>
          <w:szCs w:val="20"/>
          <w:lang w:val="en-US"/>
        </w:rPr>
        <w:t>.</w:t>
      </w:r>
    </w:p>
    <w:p w14:paraId="44487086" w14:textId="16D6D10F" w:rsidR="00E23523" w:rsidRPr="00EF64E3" w:rsidRDefault="00E23523" w:rsidP="00725939">
      <w:pPr>
        <w:rPr>
          <w:rFonts w:cs="Arial"/>
          <w:color w:val="222222"/>
          <w:szCs w:val="20"/>
          <w:shd w:val="clear" w:color="auto" w:fill="FFFFFF"/>
          <w:lang w:val="en-US"/>
        </w:rPr>
      </w:pPr>
      <w:r w:rsidRPr="00EF64E3">
        <w:rPr>
          <w:noProof/>
          <w:szCs w:val="20"/>
          <w:lang w:val="de-AT"/>
        </w:rPr>
        <w:t xml:space="preserve">[2] </w:t>
      </w:r>
      <w:proofErr w:type="spellStart"/>
      <w:r w:rsidRPr="00EF64E3">
        <w:rPr>
          <w:rFonts w:cs="Arial"/>
          <w:color w:val="222222"/>
          <w:szCs w:val="20"/>
          <w:shd w:val="clear" w:color="auto" w:fill="FFFFFF"/>
        </w:rPr>
        <w:t>Giehl</w:t>
      </w:r>
      <w:proofErr w:type="spellEnd"/>
      <w:r w:rsidRPr="00EF64E3">
        <w:rPr>
          <w:rFonts w:cs="Arial"/>
          <w:color w:val="222222"/>
          <w:szCs w:val="20"/>
          <w:shd w:val="clear" w:color="auto" w:fill="FFFFFF"/>
        </w:rPr>
        <w:t xml:space="preserve">, J., Sudhaus, T., Kurre, A., </w:t>
      </w:r>
      <w:proofErr w:type="spellStart"/>
      <w:r w:rsidRPr="00EF64E3">
        <w:rPr>
          <w:rFonts w:cs="Arial"/>
          <w:color w:val="222222"/>
          <w:szCs w:val="20"/>
          <w:shd w:val="clear" w:color="auto" w:fill="FFFFFF"/>
        </w:rPr>
        <w:t>Mikulicz-Radecki</w:t>
      </w:r>
      <w:proofErr w:type="spellEnd"/>
      <w:r w:rsidRPr="00EF64E3">
        <w:rPr>
          <w:rFonts w:cs="Arial"/>
          <w:color w:val="222222"/>
          <w:szCs w:val="20"/>
          <w:shd w:val="clear" w:color="auto" w:fill="FFFFFF"/>
        </w:rPr>
        <w:t xml:space="preserve">, F. V., </w:t>
      </w:r>
      <w:proofErr w:type="spellStart"/>
      <w:r w:rsidRPr="00EF64E3">
        <w:rPr>
          <w:rFonts w:cs="Arial"/>
          <w:color w:val="222222"/>
          <w:szCs w:val="20"/>
          <w:shd w:val="clear" w:color="auto" w:fill="FFFFFF"/>
        </w:rPr>
        <w:t>Hollnagel</w:t>
      </w:r>
      <w:proofErr w:type="spellEnd"/>
      <w:r w:rsidRPr="00EF64E3">
        <w:rPr>
          <w:rFonts w:cs="Arial"/>
          <w:color w:val="222222"/>
          <w:szCs w:val="20"/>
          <w:shd w:val="clear" w:color="auto" w:fill="FFFFFF"/>
        </w:rPr>
        <w:t xml:space="preserve">, J., Wacker, M., ... </w:t>
      </w:r>
      <w:r w:rsidRPr="00EF64E3">
        <w:rPr>
          <w:rFonts w:cs="Arial"/>
          <w:color w:val="222222"/>
          <w:szCs w:val="20"/>
          <w:shd w:val="clear" w:color="auto" w:fill="FFFFFF"/>
          <w:lang w:val="en-US"/>
        </w:rPr>
        <w:t>&amp; Müller-</w:t>
      </w:r>
      <w:proofErr w:type="spellStart"/>
      <w:r w:rsidRPr="00EF64E3">
        <w:rPr>
          <w:rFonts w:cs="Arial"/>
          <w:color w:val="222222"/>
          <w:szCs w:val="20"/>
          <w:shd w:val="clear" w:color="auto" w:fill="FFFFFF"/>
          <w:lang w:val="en-US"/>
        </w:rPr>
        <w:t>Kichenbauer</w:t>
      </w:r>
      <w:proofErr w:type="spellEnd"/>
      <w:r w:rsidRPr="00EF64E3">
        <w:rPr>
          <w:rFonts w:cs="Arial"/>
          <w:color w:val="222222"/>
          <w:szCs w:val="20"/>
          <w:shd w:val="clear" w:color="auto" w:fill="FFFFFF"/>
          <w:lang w:val="en-US"/>
        </w:rPr>
        <w:t>, J. (2021). Modelling the impact of the energy transition on gas distribution networks in Germany. </w:t>
      </w:r>
      <w:r w:rsidRPr="00EF64E3">
        <w:rPr>
          <w:rFonts w:cs="Arial"/>
          <w:i/>
          <w:iCs/>
          <w:color w:val="222222"/>
          <w:szCs w:val="20"/>
          <w:shd w:val="clear" w:color="auto" w:fill="FFFFFF"/>
          <w:lang w:val="en-US"/>
        </w:rPr>
        <w:t>Energy Strategy Reviews</w:t>
      </w:r>
      <w:r w:rsidRPr="00EF64E3">
        <w:rPr>
          <w:rFonts w:cs="Arial"/>
          <w:color w:val="222222"/>
          <w:szCs w:val="20"/>
          <w:shd w:val="clear" w:color="auto" w:fill="FFFFFF"/>
          <w:lang w:val="en-US"/>
        </w:rPr>
        <w:t>, </w:t>
      </w:r>
      <w:r w:rsidRPr="00EF64E3">
        <w:rPr>
          <w:rFonts w:cs="Arial"/>
          <w:i/>
          <w:iCs/>
          <w:color w:val="222222"/>
          <w:szCs w:val="20"/>
          <w:shd w:val="clear" w:color="auto" w:fill="FFFFFF"/>
          <w:lang w:val="en-US"/>
        </w:rPr>
        <w:t>38</w:t>
      </w:r>
      <w:r w:rsidRPr="00EF64E3">
        <w:rPr>
          <w:rFonts w:cs="Arial"/>
          <w:color w:val="222222"/>
          <w:szCs w:val="20"/>
          <w:shd w:val="clear" w:color="auto" w:fill="FFFFFF"/>
          <w:lang w:val="en-US"/>
        </w:rPr>
        <w:t xml:space="preserve">, 100751, </w:t>
      </w:r>
      <w:proofErr w:type="spellStart"/>
      <w:r w:rsidRPr="00EF64E3">
        <w:rPr>
          <w:rFonts w:cs="Arial"/>
          <w:color w:val="222222"/>
          <w:szCs w:val="20"/>
          <w:shd w:val="clear" w:color="auto" w:fill="FFFFFF"/>
          <w:lang w:val="en-US"/>
        </w:rPr>
        <w:t>doi</w:t>
      </w:r>
      <w:proofErr w:type="spellEnd"/>
      <w:r w:rsidRPr="00EF64E3">
        <w:rPr>
          <w:rFonts w:cs="Arial"/>
          <w:color w:val="222222"/>
          <w:szCs w:val="20"/>
          <w:shd w:val="clear" w:color="auto" w:fill="FFFFFF"/>
          <w:lang w:val="en-US"/>
        </w:rPr>
        <w:t xml:space="preserve">: </w:t>
      </w:r>
      <w:hyperlink r:id="rId12" w:history="1">
        <w:r w:rsidRPr="00EF64E3">
          <w:rPr>
            <w:rStyle w:val="Hyperlink"/>
            <w:rFonts w:cs="Arial"/>
            <w:szCs w:val="20"/>
            <w:shd w:val="clear" w:color="auto" w:fill="FFFFFF"/>
            <w:lang w:val="en-US"/>
          </w:rPr>
          <w:t>https://doi.org/10.1016/j.esr.2021.100751</w:t>
        </w:r>
      </w:hyperlink>
      <w:r w:rsidRPr="00EF64E3">
        <w:rPr>
          <w:rFonts w:cs="Arial"/>
          <w:color w:val="222222"/>
          <w:szCs w:val="20"/>
          <w:shd w:val="clear" w:color="auto" w:fill="FFFFFF"/>
          <w:lang w:val="en-US"/>
        </w:rPr>
        <w:t>.</w:t>
      </w:r>
    </w:p>
    <w:p w14:paraId="52973848" w14:textId="4370EB66" w:rsidR="00BC282D" w:rsidRPr="00EF64E3" w:rsidRDefault="00F15F46" w:rsidP="00725939">
      <w:pPr>
        <w:rPr>
          <w:noProof/>
          <w:szCs w:val="20"/>
          <w:lang w:val="en-US"/>
        </w:rPr>
      </w:pPr>
      <w:r w:rsidRPr="00EF64E3">
        <w:rPr>
          <w:noProof/>
          <w:szCs w:val="20"/>
          <w:lang w:val="en-US"/>
        </w:rPr>
        <w:t>[</w:t>
      </w:r>
      <w:r w:rsidR="00E23523" w:rsidRPr="00EF64E3">
        <w:rPr>
          <w:noProof/>
          <w:szCs w:val="20"/>
          <w:lang w:val="en-US"/>
        </w:rPr>
        <w:t>3</w:t>
      </w:r>
      <w:r w:rsidRPr="00EF64E3">
        <w:rPr>
          <w:noProof/>
          <w:szCs w:val="20"/>
          <w:lang w:val="en-US"/>
        </w:rPr>
        <w:t xml:space="preserve">] Zwickl-Bernard, S. &amp; Auer, H. Demystifying natural gas distribution grid decommissioning: An open-source approach to local deep decarbonization of urban neighborhoods. </w:t>
      </w:r>
      <w:r w:rsidRPr="00EF64E3">
        <w:rPr>
          <w:i/>
          <w:noProof/>
          <w:szCs w:val="20"/>
          <w:lang w:val="en-US"/>
        </w:rPr>
        <w:t>Energy</w:t>
      </w:r>
      <w:r w:rsidRPr="00EF64E3">
        <w:rPr>
          <w:noProof/>
          <w:szCs w:val="20"/>
          <w:lang w:val="en-US"/>
        </w:rPr>
        <w:t xml:space="preserve">, 238, 121805. (2022), doi: </w:t>
      </w:r>
      <w:hyperlink r:id="rId13" w:history="1">
        <w:r w:rsidR="00F30712" w:rsidRPr="00EF64E3">
          <w:rPr>
            <w:rStyle w:val="Hyperlink"/>
            <w:noProof/>
            <w:szCs w:val="20"/>
            <w:lang w:val="en-US"/>
          </w:rPr>
          <w:t>https://doi.org/10.1016/j.energy.2021.121805</w:t>
        </w:r>
      </w:hyperlink>
      <w:r w:rsidRPr="00EF64E3">
        <w:rPr>
          <w:noProof/>
          <w:szCs w:val="20"/>
          <w:lang w:val="en-US"/>
        </w:rPr>
        <w:t xml:space="preserve">. </w:t>
      </w:r>
    </w:p>
    <w:p w14:paraId="2A209900" w14:textId="5A8174F0" w:rsidR="00F30712" w:rsidRPr="003D54AC" w:rsidRDefault="00F30712" w:rsidP="00725939">
      <w:pPr>
        <w:rPr>
          <w:noProof/>
          <w:szCs w:val="20"/>
          <w:lang w:val="en-US"/>
        </w:rPr>
      </w:pPr>
      <w:r w:rsidRPr="00EF64E3">
        <w:rPr>
          <w:noProof/>
          <w:szCs w:val="20"/>
          <w:lang w:val="en-US"/>
        </w:rPr>
        <w:t>[</w:t>
      </w:r>
      <w:r w:rsidR="00E23523" w:rsidRPr="00EF64E3">
        <w:rPr>
          <w:noProof/>
          <w:szCs w:val="20"/>
          <w:lang w:val="en-US"/>
        </w:rPr>
        <w:t>4</w:t>
      </w:r>
      <w:r w:rsidRPr="00EF64E3">
        <w:rPr>
          <w:noProof/>
          <w:szCs w:val="20"/>
          <w:lang w:val="en-US"/>
        </w:rPr>
        <w:t xml:space="preserve">] Pluta, A., &amp; Lünsdorf, O. (2020). esy-osmfilter–A Python Library to Efficiently Extract OpenStreetMap Data. Journal of Open Research Software, 8(1), doi: </w:t>
      </w:r>
      <w:hyperlink r:id="rId14" w:history="1">
        <w:r w:rsidRPr="00EF64E3">
          <w:rPr>
            <w:rStyle w:val="Hyperlink"/>
            <w:noProof/>
            <w:szCs w:val="20"/>
            <w:lang w:val="en-US"/>
          </w:rPr>
          <w:t>http://doi.org/10.5334/jors.317</w:t>
        </w:r>
      </w:hyperlink>
      <w:r w:rsidRPr="00EF64E3">
        <w:rPr>
          <w:noProof/>
          <w:szCs w:val="20"/>
          <w:lang w:val="en-US"/>
        </w:rPr>
        <w:t>.</w:t>
      </w:r>
    </w:p>
    <w:sectPr w:rsidR="00F30712" w:rsidRPr="003D54AC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9A0EFA" w16cid:durableId="2537B8E8"/>
  <w16cid:commentId w16cid:paraId="3FC225CA" w16cid:durableId="2537B945"/>
  <w16cid:commentId w16cid:paraId="3E597E75" w16cid:durableId="2537B9C4"/>
  <w16cid:commentId w16cid:paraId="3FCE8F1A" w16cid:durableId="2537BA00"/>
  <w16cid:commentId w16cid:paraId="11DBC94E" w16cid:durableId="2537BA6E"/>
  <w16cid:commentId w16cid:paraId="05CCFC1B" w16cid:durableId="2537BA8F"/>
  <w16cid:commentId w16cid:paraId="6CA07600" w16cid:durableId="2537BAAD"/>
  <w16cid:commentId w16cid:paraId="29681D84" w16cid:durableId="2537BAFE"/>
  <w16cid:commentId w16cid:paraId="244021AE" w16cid:durableId="2537BB16"/>
  <w16cid:commentId w16cid:paraId="1900F508" w16cid:durableId="2537BB6B"/>
  <w16cid:commentId w16cid:paraId="5FA34B99" w16cid:durableId="2537BB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0EFB8" w14:textId="77777777" w:rsidR="007E6577" w:rsidRDefault="007E6577">
      <w:pPr>
        <w:spacing w:after="0" w:line="240" w:lineRule="auto"/>
      </w:pPr>
      <w:r>
        <w:separator/>
      </w:r>
    </w:p>
  </w:endnote>
  <w:endnote w:type="continuationSeparator" w:id="0">
    <w:p w14:paraId="516EBEA7" w14:textId="77777777" w:rsidR="007E6577" w:rsidRDefault="007E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47C26" w14:textId="77777777" w:rsidR="007E6577" w:rsidRDefault="007E6577">
      <w:pPr>
        <w:spacing w:after="0" w:line="240" w:lineRule="auto"/>
      </w:pPr>
      <w:r>
        <w:separator/>
      </w:r>
    </w:p>
  </w:footnote>
  <w:footnote w:type="continuationSeparator" w:id="0">
    <w:p w14:paraId="1DABD8A6" w14:textId="77777777" w:rsidR="007E6577" w:rsidRDefault="007E6577">
      <w:pPr>
        <w:spacing w:after="0" w:line="240" w:lineRule="auto"/>
      </w:pPr>
      <w:r>
        <w:continuationSeparator/>
      </w:r>
    </w:p>
  </w:footnote>
  <w:footnote w:id="1">
    <w:p w14:paraId="3FB0B9B8" w14:textId="1832C002" w:rsidR="001A00DF" w:rsidRDefault="001A00DF">
      <w:pPr>
        <w:pStyle w:val="Funotentext"/>
      </w:pPr>
      <w:r>
        <w:rPr>
          <w:rStyle w:val="Funotenzeichen"/>
        </w:rPr>
        <w:footnoteRef/>
      </w:r>
      <w:r>
        <w:t xml:space="preserve"> Nachwuchsautor; geb. 4.11.1994</w:t>
      </w:r>
      <w:r w:rsidR="00006246">
        <w:t xml:space="preserve">, </w:t>
      </w:r>
      <w:hyperlink r:id="rId1" w:history="1">
        <w:r w:rsidR="00006246" w:rsidRPr="00907729">
          <w:rPr>
            <w:rStyle w:val="Hyperlink"/>
          </w:rPr>
          <w:t>zwickl@eeg.tuwien.ac.at</w:t>
        </w:r>
      </w:hyperlink>
    </w:p>
  </w:footnote>
  <w:footnote w:id="2">
    <w:p w14:paraId="7EBE7FAF" w14:textId="38D0C09D" w:rsidR="00E45528" w:rsidRPr="0097280D" w:rsidRDefault="00E45528" w:rsidP="00C75E8F">
      <w:pPr>
        <w:pStyle w:val="Funotentext"/>
        <w:ind w:left="284" w:hanging="284"/>
        <w:jc w:val="left"/>
      </w:pPr>
      <w:r>
        <w:rPr>
          <w:rStyle w:val="Funotenzeichen"/>
        </w:rPr>
        <w:footnoteRef/>
      </w:r>
      <w:r w:rsidR="001A00DF">
        <w:t xml:space="preserve"> </w:t>
      </w:r>
      <w:r>
        <w:t>Institut für Energiesysteme und Elektrische Antriebe / Technische Universität Wien (TU-Wien),</w:t>
      </w:r>
      <w:r w:rsidR="00006246">
        <w:t xml:space="preserve"> Energy Economics Group (EEG)</w:t>
      </w:r>
    </w:p>
  </w:footnote>
  <w:footnote w:id="3">
    <w:p w14:paraId="6EE5F9E5" w14:textId="55027324" w:rsidR="00A36CBB" w:rsidRPr="00006246" w:rsidRDefault="00A36CBB">
      <w:pPr>
        <w:pStyle w:val="Funoten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9DB2A" w14:textId="0E85CAC4" w:rsidR="00E97C16" w:rsidRPr="00E97C16" w:rsidRDefault="00E97C16" w:rsidP="00E97C16">
    <w:pPr>
      <w:pStyle w:val="Kopfzeile"/>
      <w:tabs>
        <w:tab w:val="right" w:pos="9000"/>
      </w:tabs>
      <w:rPr>
        <w:u w:val="single"/>
      </w:rPr>
    </w:pPr>
    <w:r>
      <w:rPr>
        <w:u w:val="single"/>
      </w:rPr>
      <w:t>1</w:t>
    </w:r>
    <w:r w:rsidR="00051F96">
      <w:rPr>
        <w:u w:val="single"/>
      </w:rPr>
      <w:t>7</w:t>
    </w:r>
    <w:r w:rsidRPr="0035186B">
      <w:rPr>
        <w:u w:val="single"/>
      </w:rPr>
      <w:t>.</w:t>
    </w:r>
    <w:r>
      <w:rPr>
        <w:u w:val="single"/>
      </w:rPr>
      <w:t xml:space="preserve"> Symposium Energieinnovation, </w:t>
    </w:r>
    <w:r w:rsidR="00051F96">
      <w:rPr>
        <w:u w:val="single"/>
      </w:rPr>
      <w:t>Februar 2022</w:t>
    </w:r>
    <w:r w:rsidRPr="0035186B">
      <w:rPr>
        <w:u w:val="single"/>
      </w:rPr>
      <w:t>, Graz/Austria</w:t>
    </w:r>
    <w:r w:rsidRPr="0035186B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06DC"/>
    <w:multiLevelType w:val="hybridMultilevel"/>
    <w:tmpl w:val="CF6C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215"/>
    <w:multiLevelType w:val="hybridMultilevel"/>
    <w:tmpl w:val="0BA6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47119"/>
    <w:multiLevelType w:val="hybridMultilevel"/>
    <w:tmpl w:val="47C81FA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21AFF"/>
    <w:multiLevelType w:val="multilevel"/>
    <w:tmpl w:val="47C8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17C66"/>
    <w:multiLevelType w:val="hybridMultilevel"/>
    <w:tmpl w:val="20C0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B2ED5"/>
    <w:multiLevelType w:val="hybridMultilevel"/>
    <w:tmpl w:val="C03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16"/>
    <w:rsid w:val="00005CEE"/>
    <w:rsid w:val="00006246"/>
    <w:rsid w:val="00025C41"/>
    <w:rsid w:val="00051F96"/>
    <w:rsid w:val="00052332"/>
    <w:rsid w:val="0006282C"/>
    <w:rsid w:val="000652F6"/>
    <w:rsid w:val="00077787"/>
    <w:rsid w:val="00086E1B"/>
    <w:rsid w:val="00090F8E"/>
    <w:rsid w:val="00094082"/>
    <w:rsid w:val="00096E7E"/>
    <w:rsid w:val="000976D1"/>
    <w:rsid w:val="000A0880"/>
    <w:rsid w:val="000A1034"/>
    <w:rsid w:val="000A5F96"/>
    <w:rsid w:val="000B051A"/>
    <w:rsid w:val="000C53CE"/>
    <w:rsid w:val="000D7FED"/>
    <w:rsid w:val="000E0542"/>
    <w:rsid w:val="000E743C"/>
    <w:rsid w:val="000F2C1B"/>
    <w:rsid w:val="000F302F"/>
    <w:rsid w:val="00132B57"/>
    <w:rsid w:val="0013734F"/>
    <w:rsid w:val="0016495A"/>
    <w:rsid w:val="00173DD8"/>
    <w:rsid w:val="00174019"/>
    <w:rsid w:val="00184BF0"/>
    <w:rsid w:val="00185373"/>
    <w:rsid w:val="00187451"/>
    <w:rsid w:val="00191420"/>
    <w:rsid w:val="001A00DF"/>
    <w:rsid w:val="001B089D"/>
    <w:rsid w:val="001B6577"/>
    <w:rsid w:val="001C7A75"/>
    <w:rsid w:val="001D27C8"/>
    <w:rsid w:val="001D3A69"/>
    <w:rsid w:val="001E0B14"/>
    <w:rsid w:val="001E2DF6"/>
    <w:rsid w:val="001E2E49"/>
    <w:rsid w:val="001E592C"/>
    <w:rsid w:val="001E5D3B"/>
    <w:rsid w:val="001F0611"/>
    <w:rsid w:val="001F6027"/>
    <w:rsid w:val="001F61EC"/>
    <w:rsid w:val="0020055D"/>
    <w:rsid w:val="00207147"/>
    <w:rsid w:val="002073CB"/>
    <w:rsid w:val="00207EB5"/>
    <w:rsid w:val="00210C25"/>
    <w:rsid w:val="002132DE"/>
    <w:rsid w:val="00224F4E"/>
    <w:rsid w:val="00227678"/>
    <w:rsid w:val="0023321E"/>
    <w:rsid w:val="00241390"/>
    <w:rsid w:val="002670E5"/>
    <w:rsid w:val="00280D3C"/>
    <w:rsid w:val="0028127E"/>
    <w:rsid w:val="00284E69"/>
    <w:rsid w:val="00285A85"/>
    <w:rsid w:val="0028650B"/>
    <w:rsid w:val="002907BF"/>
    <w:rsid w:val="00290959"/>
    <w:rsid w:val="002A04E0"/>
    <w:rsid w:val="002A0CD0"/>
    <w:rsid w:val="002A7356"/>
    <w:rsid w:val="002B2BB3"/>
    <w:rsid w:val="002B54A5"/>
    <w:rsid w:val="002D524C"/>
    <w:rsid w:val="002E2770"/>
    <w:rsid w:val="002E3813"/>
    <w:rsid w:val="002F6014"/>
    <w:rsid w:val="002F75D4"/>
    <w:rsid w:val="003061CE"/>
    <w:rsid w:val="00306AD1"/>
    <w:rsid w:val="00312AC9"/>
    <w:rsid w:val="003133BF"/>
    <w:rsid w:val="00323074"/>
    <w:rsid w:val="00324C5E"/>
    <w:rsid w:val="00325B81"/>
    <w:rsid w:val="00342A36"/>
    <w:rsid w:val="003473C7"/>
    <w:rsid w:val="00353A9C"/>
    <w:rsid w:val="00354318"/>
    <w:rsid w:val="003543B3"/>
    <w:rsid w:val="003611DA"/>
    <w:rsid w:val="00362854"/>
    <w:rsid w:val="00365455"/>
    <w:rsid w:val="00365F17"/>
    <w:rsid w:val="00366403"/>
    <w:rsid w:val="00367D4B"/>
    <w:rsid w:val="00372268"/>
    <w:rsid w:val="00376770"/>
    <w:rsid w:val="00376C06"/>
    <w:rsid w:val="0038131B"/>
    <w:rsid w:val="003824C0"/>
    <w:rsid w:val="00383811"/>
    <w:rsid w:val="0039072F"/>
    <w:rsid w:val="0039293F"/>
    <w:rsid w:val="003A15F3"/>
    <w:rsid w:val="003B14D1"/>
    <w:rsid w:val="003B3205"/>
    <w:rsid w:val="003B4C88"/>
    <w:rsid w:val="003B4F08"/>
    <w:rsid w:val="003B579E"/>
    <w:rsid w:val="003B6B2E"/>
    <w:rsid w:val="003C092A"/>
    <w:rsid w:val="003D3CC5"/>
    <w:rsid w:val="003D45AB"/>
    <w:rsid w:val="003D54AC"/>
    <w:rsid w:val="003D7A8E"/>
    <w:rsid w:val="003D7AF9"/>
    <w:rsid w:val="003E5CFC"/>
    <w:rsid w:val="00400EEA"/>
    <w:rsid w:val="00414617"/>
    <w:rsid w:val="00416FF4"/>
    <w:rsid w:val="004216D0"/>
    <w:rsid w:val="00434FE2"/>
    <w:rsid w:val="00444E4D"/>
    <w:rsid w:val="00450151"/>
    <w:rsid w:val="00451996"/>
    <w:rsid w:val="00466DDA"/>
    <w:rsid w:val="004728D9"/>
    <w:rsid w:val="00474406"/>
    <w:rsid w:val="0048658E"/>
    <w:rsid w:val="00494FD3"/>
    <w:rsid w:val="004969A5"/>
    <w:rsid w:val="004A5DBF"/>
    <w:rsid w:val="004B7732"/>
    <w:rsid w:val="004C28A1"/>
    <w:rsid w:val="004C2B38"/>
    <w:rsid w:val="004D0CDA"/>
    <w:rsid w:val="004D51C5"/>
    <w:rsid w:val="004D739B"/>
    <w:rsid w:val="004F6B4C"/>
    <w:rsid w:val="00506DC6"/>
    <w:rsid w:val="00511C76"/>
    <w:rsid w:val="005145CF"/>
    <w:rsid w:val="00516DAD"/>
    <w:rsid w:val="00517942"/>
    <w:rsid w:val="005205BC"/>
    <w:rsid w:val="0052061A"/>
    <w:rsid w:val="005206AC"/>
    <w:rsid w:val="00520BC1"/>
    <w:rsid w:val="00525F95"/>
    <w:rsid w:val="005277C3"/>
    <w:rsid w:val="0054294B"/>
    <w:rsid w:val="00543A09"/>
    <w:rsid w:val="0055202A"/>
    <w:rsid w:val="00555A6B"/>
    <w:rsid w:val="0055728C"/>
    <w:rsid w:val="00562007"/>
    <w:rsid w:val="005639CC"/>
    <w:rsid w:val="00567EDB"/>
    <w:rsid w:val="005713D8"/>
    <w:rsid w:val="005731BC"/>
    <w:rsid w:val="00573871"/>
    <w:rsid w:val="00577106"/>
    <w:rsid w:val="005804C8"/>
    <w:rsid w:val="005B11B0"/>
    <w:rsid w:val="005B3F68"/>
    <w:rsid w:val="005C7204"/>
    <w:rsid w:val="005D19E8"/>
    <w:rsid w:val="005E0AAF"/>
    <w:rsid w:val="005F31D4"/>
    <w:rsid w:val="005F4B3D"/>
    <w:rsid w:val="005F620C"/>
    <w:rsid w:val="00610DAA"/>
    <w:rsid w:val="0061319A"/>
    <w:rsid w:val="00616D49"/>
    <w:rsid w:val="00621634"/>
    <w:rsid w:val="00621B6D"/>
    <w:rsid w:val="006229B6"/>
    <w:rsid w:val="00626F45"/>
    <w:rsid w:val="00627163"/>
    <w:rsid w:val="00634D1E"/>
    <w:rsid w:val="006453A3"/>
    <w:rsid w:val="006477A1"/>
    <w:rsid w:val="006514C7"/>
    <w:rsid w:val="006524B9"/>
    <w:rsid w:val="00654EC4"/>
    <w:rsid w:val="006558A7"/>
    <w:rsid w:val="0066023F"/>
    <w:rsid w:val="00662026"/>
    <w:rsid w:val="006716C5"/>
    <w:rsid w:val="0067440F"/>
    <w:rsid w:val="006776C3"/>
    <w:rsid w:val="00677792"/>
    <w:rsid w:val="00680065"/>
    <w:rsid w:val="00694446"/>
    <w:rsid w:val="006A2CE9"/>
    <w:rsid w:val="006B30CB"/>
    <w:rsid w:val="006B466C"/>
    <w:rsid w:val="006B593C"/>
    <w:rsid w:val="006B5E79"/>
    <w:rsid w:val="006C76FA"/>
    <w:rsid w:val="006C7CE0"/>
    <w:rsid w:val="006D20F6"/>
    <w:rsid w:val="006D451E"/>
    <w:rsid w:val="006D4661"/>
    <w:rsid w:val="006D7D07"/>
    <w:rsid w:val="006E058A"/>
    <w:rsid w:val="006E09BF"/>
    <w:rsid w:val="006E218F"/>
    <w:rsid w:val="006E63DF"/>
    <w:rsid w:val="00703580"/>
    <w:rsid w:val="007156EC"/>
    <w:rsid w:val="00725939"/>
    <w:rsid w:val="007306BD"/>
    <w:rsid w:val="00734E15"/>
    <w:rsid w:val="00742F72"/>
    <w:rsid w:val="0075024D"/>
    <w:rsid w:val="00750ADE"/>
    <w:rsid w:val="00755D6A"/>
    <w:rsid w:val="00762D1F"/>
    <w:rsid w:val="007636C7"/>
    <w:rsid w:val="00765417"/>
    <w:rsid w:val="007751A0"/>
    <w:rsid w:val="007805C7"/>
    <w:rsid w:val="00783F16"/>
    <w:rsid w:val="007861F2"/>
    <w:rsid w:val="0078663F"/>
    <w:rsid w:val="007878D7"/>
    <w:rsid w:val="007B4781"/>
    <w:rsid w:val="007C5A5E"/>
    <w:rsid w:val="007D428A"/>
    <w:rsid w:val="007D5A6F"/>
    <w:rsid w:val="007E0B29"/>
    <w:rsid w:val="007E6113"/>
    <w:rsid w:val="007E6577"/>
    <w:rsid w:val="007F23C6"/>
    <w:rsid w:val="007F573A"/>
    <w:rsid w:val="0081370C"/>
    <w:rsid w:val="008148A6"/>
    <w:rsid w:val="008174AC"/>
    <w:rsid w:val="00817981"/>
    <w:rsid w:val="0082119B"/>
    <w:rsid w:val="00824559"/>
    <w:rsid w:val="008275D4"/>
    <w:rsid w:val="00840462"/>
    <w:rsid w:val="00845F55"/>
    <w:rsid w:val="0084699E"/>
    <w:rsid w:val="008569DE"/>
    <w:rsid w:val="00866CFD"/>
    <w:rsid w:val="00874BA9"/>
    <w:rsid w:val="00876EEE"/>
    <w:rsid w:val="00877301"/>
    <w:rsid w:val="00877E06"/>
    <w:rsid w:val="00882E1E"/>
    <w:rsid w:val="0089041B"/>
    <w:rsid w:val="00895C95"/>
    <w:rsid w:val="008A24F0"/>
    <w:rsid w:val="008B0570"/>
    <w:rsid w:val="008B1F2B"/>
    <w:rsid w:val="008B22B9"/>
    <w:rsid w:val="008B48A4"/>
    <w:rsid w:val="008D3017"/>
    <w:rsid w:val="008D460E"/>
    <w:rsid w:val="008D49C7"/>
    <w:rsid w:val="008D7574"/>
    <w:rsid w:val="008E6467"/>
    <w:rsid w:val="008F4335"/>
    <w:rsid w:val="0091238B"/>
    <w:rsid w:val="0091269A"/>
    <w:rsid w:val="0091403D"/>
    <w:rsid w:val="009275B5"/>
    <w:rsid w:val="0093054E"/>
    <w:rsid w:val="00941080"/>
    <w:rsid w:val="009534B8"/>
    <w:rsid w:val="009618C8"/>
    <w:rsid w:val="00970630"/>
    <w:rsid w:val="00990D5E"/>
    <w:rsid w:val="009A5737"/>
    <w:rsid w:val="009B5F02"/>
    <w:rsid w:val="009B72EA"/>
    <w:rsid w:val="009C05F2"/>
    <w:rsid w:val="009C6D2C"/>
    <w:rsid w:val="009F042C"/>
    <w:rsid w:val="009F1FEA"/>
    <w:rsid w:val="009F4F06"/>
    <w:rsid w:val="00A02F2E"/>
    <w:rsid w:val="00A03C71"/>
    <w:rsid w:val="00A0520B"/>
    <w:rsid w:val="00A235D2"/>
    <w:rsid w:val="00A24652"/>
    <w:rsid w:val="00A26641"/>
    <w:rsid w:val="00A33D22"/>
    <w:rsid w:val="00A36CBB"/>
    <w:rsid w:val="00A40241"/>
    <w:rsid w:val="00A4040A"/>
    <w:rsid w:val="00A461EF"/>
    <w:rsid w:val="00A537CB"/>
    <w:rsid w:val="00A54884"/>
    <w:rsid w:val="00A57690"/>
    <w:rsid w:val="00A611E1"/>
    <w:rsid w:val="00A638D3"/>
    <w:rsid w:val="00A641E0"/>
    <w:rsid w:val="00A710E4"/>
    <w:rsid w:val="00A72AB9"/>
    <w:rsid w:val="00A73A08"/>
    <w:rsid w:val="00A75BB4"/>
    <w:rsid w:val="00A762C8"/>
    <w:rsid w:val="00A85EB3"/>
    <w:rsid w:val="00A91782"/>
    <w:rsid w:val="00A92036"/>
    <w:rsid w:val="00A96944"/>
    <w:rsid w:val="00A9753B"/>
    <w:rsid w:val="00AA26ED"/>
    <w:rsid w:val="00AA3D68"/>
    <w:rsid w:val="00AB09C0"/>
    <w:rsid w:val="00AB0C9C"/>
    <w:rsid w:val="00AB3045"/>
    <w:rsid w:val="00AB7CF8"/>
    <w:rsid w:val="00AC4275"/>
    <w:rsid w:val="00AD0D00"/>
    <w:rsid w:val="00AD74A4"/>
    <w:rsid w:val="00AF1B0D"/>
    <w:rsid w:val="00AF1CD3"/>
    <w:rsid w:val="00AF4156"/>
    <w:rsid w:val="00AF5755"/>
    <w:rsid w:val="00B00FF8"/>
    <w:rsid w:val="00B05ED0"/>
    <w:rsid w:val="00B156E9"/>
    <w:rsid w:val="00B22959"/>
    <w:rsid w:val="00B24729"/>
    <w:rsid w:val="00B26050"/>
    <w:rsid w:val="00B32C18"/>
    <w:rsid w:val="00B332E4"/>
    <w:rsid w:val="00B352D3"/>
    <w:rsid w:val="00B45794"/>
    <w:rsid w:val="00B6405B"/>
    <w:rsid w:val="00B67ACC"/>
    <w:rsid w:val="00B7214D"/>
    <w:rsid w:val="00B751AE"/>
    <w:rsid w:val="00B8079D"/>
    <w:rsid w:val="00B84EBA"/>
    <w:rsid w:val="00B85D86"/>
    <w:rsid w:val="00B9490D"/>
    <w:rsid w:val="00BA5640"/>
    <w:rsid w:val="00BB0358"/>
    <w:rsid w:val="00BB1748"/>
    <w:rsid w:val="00BC282D"/>
    <w:rsid w:val="00BC7320"/>
    <w:rsid w:val="00BD1BB4"/>
    <w:rsid w:val="00BD4B5D"/>
    <w:rsid w:val="00BE01A3"/>
    <w:rsid w:val="00BF55D9"/>
    <w:rsid w:val="00C01D39"/>
    <w:rsid w:val="00C04CB9"/>
    <w:rsid w:val="00C06C06"/>
    <w:rsid w:val="00C07212"/>
    <w:rsid w:val="00C26621"/>
    <w:rsid w:val="00C321FD"/>
    <w:rsid w:val="00C439AA"/>
    <w:rsid w:val="00C4580B"/>
    <w:rsid w:val="00C606B4"/>
    <w:rsid w:val="00C60876"/>
    <w:rsid w:val="00C6760F"/>
    <w:rsid w:val="00C74B50"/>
    <w:rsid w:val="00C75E8F"/>
    <w:rsid w:val="00C762C8"/>
    <w:rsid w:val="00C9234B"/>
    <w:rsid w:val="00C9254A"/>
    <w:rsid w:val="00C92E7F"/>
    <w:rsid w:val="00C93BA8"/>
    <w:rsid w:val="00C97ED9"/>
    <w:rsid w:val="00CA7837"/>
    <w:rsid w:val="00CB0AD7"/>
    <w:rsid w:val="00CB17CE"/>
    <w:rsid w:val="00CC28EB"/>
    <w:rsid w:val="00CC33EE"/>
    <w:rsid w:val="00CC40BC"/>
    <w:rsid w:val="00CC5EC9"/>
    <w:rsid w:val="00CE4B05"/>
    <w:rsid w:val="00CF4FD1"/>
    <w:rsid w:val="00D012E1"/>
    <w:rsid w:val="00D0202D"/>
    <w:rsid w:val="00D177B6"/>
    <w:rsid w:val="00D21777"/>
    <w:rsid w:val="00D219C5"/>
    <w:rsid w:val="00D324B3"/>
    <w:rsid w:val="00D35176"/>
    <w:rsid w:val="00D5105B"/>
    <w:rsid w:val="00D514F9"/>
    <w:rsid w:val="00D53BE5"/>
    <w:rsid w:val="00D60C8F"/>
    <w:rsid w:val="00D62863"/>
    <w:rsid w:val="00D67002"/>
    <w:rsid w:val="00D677A8"/>
    <w:rsid w:val="00D67EDB"/>
    <w:rsid w:val="00D700A5"/>
    <w:rsid w:val="00D75F75"/>
    <w:rsid w:val="00D807A4"/>
    <w:rsid w:val="00DA77D8"/>
    <w:rsid w:val="00DB4127"/>
    <w:rsid w:val="00DB511B"/>
    <w:rsid w:val="00DC7D03"/>
    <w:rsid w:val="00DD12B5"/>
    <w:rsid w:val="00DD255D"/>
    <w:rsid w:val="00DE0C78"/>
    <w:rsid w:val="00DE0F9C"/>
    <w:rsid w:val="00DE641A"/>
    <w:rsid w:val="00DF6824"/>
    <w:rsid w:val="00E0394E"/>
    <w:rsid w:val="00E05CB6"/>
    <w:rsid w:val="00E127F6"/>
    <w:rsid w:val="00E17741"/>
    <w:rsid w:val="00E23523"/>
    <w:rsid w:val="00E2596F"/>
    <w:rsid w:val="00E271E7"/>
    <w:rsid w:val="00E415EA"/>
    <w:rsid w:val="00E42BFC"/>
    <w:rsid w:val="00E45528"/>
    <w:rsid w:val="00E63084"/>
    <w:rsid w:val="00E70F85"/>
    <w:rsid w:val="00E71EB4"/>
    <w:rsid w:val="00E75E38"/>
    <w:rsid w:val="00E81F1A"/>
    <w:rsid w:val="00E87B54"/>
    <w:rsid w:val="00E94B4B"/>
    <w:rsid w:val="00E97C16"/>
    <w:rsid w:val="00EA05F5"/>
    <w:rsid w:val="00EB0F30"/>
    <w:rsid w:val="00EB4262"/>
    <w:rsid w:val="00ED542C"/>
    <w:rsid w:val="00ED603C"/>
    <w:rsid w:val="00EE1CBE"/>
    <w:rsid w:val="00EE5654"/>
    <w:rsid w:val="00EF2BF4"/>
    <w:rsid w:val="00EF3596"/>
    <w:rsid w:val="00EF5D8A"/>
    <w:rsid w:val="00EF64E3"/>
    <w:rsid w:val="00F15F46"/>
    <w:rsid w:val="00F24F8D"/>
    <w:rsid w:val="00F30712"/>
    <w:rsid w:val="00F33663"/>
    <w:rsid w:val="00F433A0"/>
    <w:rsid w:val="00F43F78"/>
    <w:rsid w:val="00F55E8C"/>
    <w:rsid w:val="00F77448"/>
    <w:rsid w:val="00F8579B"/>
    <w:rsid w:val="00F87D7F"/>
    <w:rsid w:val="00F9575B"/>
    <w:rsid w:val="00FA20B7"/>
    <w:rsid w:val="00FA62EB"/>
    <w:rsid w:val="00FB2872"/>
    <w:rsid w:val="00FC710A"/>
    <w:rsid w:val="00FD1058"/>
    <w:rsid w:val="00FD5C75"/>
    <w:rsid w:val="00FE43CC"/>
    <w:rsid w:val="00FE45D8"/>
    <w:rsid w:val="00FF0C55"/>
    <w:rsid w:val="00FF2170"/>
    <w:rsid w:val="00FF2FC1"/>
    <w:rsid w:val="00FF72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F700A"/>
  <w14:defaultImageDpi w14:val="300"/>
  <w15:docId w15:val="{8A420FED-84AA-474A-B4C3-DEB61C3F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09C0"/>
    <w:pPr>
      <w:spacing w:after="120" w:line="264" w:lineRule="auto"/>
      <w:jc w:val="both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0B55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qFormat/>
    <w:rsid w:val="00EF0B55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berschrift3">
    <w:name w:val="heading 3"/>
    <w:basedOn w:val="Standard"/>
    <w:next w:val="Standard"/>
    <w:qFormat/>
    <w:rsid w:val="001A0C69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">
    <w:name w:val="TITEL"/>
    <w:rsid w:val="00EF0B55"/>
    <w:pPr>
      <w:spacing w:after="240"/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Autoren">
    <w:name w:val="Autoren"/>
    <w:basedOn w:val="Standard"/>
    <w:rsid w:val="00EF0B55"/>
    <w:pPr>
      <w:jc w:val="center"/>
    </w:pPr>
    <w:rPr>
      <w:b/>
      <w:sz w:val="24"/>
    </w:rPr>
  </w:style>
  <w:style w:type="paragraph" w:customStyle="1" w:styleId="Institution">
    <w:name w:val="Institution"/>
    <w:basedOn w:val="Standard"/>
    <w:rsid w:val="00EF0B55"/>
    <w:pPr>
      <w:spacing w:before="60" w:after="240" w:line="240" w:lineRule="auto"/>
      <w:jc w:val="center"/>
    </w:pPr>
    <w:rPr>
      <w:sz w:val="24"/>
    </w:rPr>
  </w:style>
  <w:style w:type="paragraph" w:styleId="Funotentext">
    <w:name w:val="footnote text"/>
    <w:basedOn w:val="Standard"/>
    <w:link w:val="FunotentextZchn"/>
    <w:semiHidden/>
    <w:rsid w:val="0097280D"/>
    <w:pPr>
      <w:tabs>
        <w:tab w:val="left" w:pos="284"/>
      </w:tabs>
      <w:spacing w:after="0" w:line="240" w:lineRule="auto"/>
    </w:pPr>
    <w:rPr>
      <w:szCs w:val="20"/>
    </w:rPr>
  </w:style>
  <w:style w:type="character" w:styleId="Funotenzeichen">
    <w:name w:val="footnote reference"/>
    <w:basedOn w:val="Absatz-Standardschriftart"/>
    <w:semiHidden/>
    <w:rsid w:val="001A0C69"/>
    <w:rPr>
      <w:vertAlign w:val="superscript"/>
    </w:rPr>
  </w:style>
  <w:style w:type="paragraph" w:styleId="Dokumentstruktur">
    <w:name w:val="Document Map"/>
    <w:basedOn w:val="Standard"/>
    <w:semiHidden/>
    <w:rsid w:val="00EF0B55"/>
    <w:pPr>
      <w:shd w:val="clear" w:color="auto" w:fill="C6D5EC"/>
    </w:pPr>
    <w:rPr>
      <w:rFonts w:ascii="Lucida Grande" w:hAnsi="Lucida Grande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9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7C16"/>
    <w:rPr>
      <w:rFonts w:ascii="Arial" w:hAnsi="Arial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E9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7C16"/>
    <w:rPr>
      <w:rFonts w:ascii="Arial" w:hAnsi="Arial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7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7C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E592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D0C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6577"/>
    <w:rPr>
      <w:rFonts w:ascii="Arial" w:hAnsi="Arial" w:cs="Arial"/>
      <w:b/>
      <w:bCs/>
      <w:kern w:val="32"/>
      <w:sz w:val="24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1B6577"/>
  </w:style>
  <w:style w:type="character" w:styleId="Hyperlink">
    <w:name w:val="Hyperlink"/>
    <w:basedOn w:val="Absatz-Standardschriftart"/>
    <w:uiPriority w:val="99"/>
    <w:unhideWhenUsed/>
    <w:rsid w:val="001B6577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D7574"/>
    <w:rPr>
      <w:color w:val="808080"/>
    </w:rPr>
  </w:style>
  <w:style w:type="table" w:styleId="Tabellenraster">
    <w:name w:val="Table Grid"/>
    <w:basedOn w:val="NormaleTabelle"/>
    <w:uiPriority w:val="59"/>
    <w:rsid w:val="008D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notentextZchn">
    <w:name w:val="Fußnotentext Zchn"/>
    <w:basedOn w:val="Absatz-Standardschriftart"/>
    <w:link w:val="Funotentext"/>
    <w:semiHidden/>
    <w:rsid w:val="00E45528"/>
    <w:rPr>
      <w:rFonts w:ascii="Arial" w:hAnsi="Arial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4FD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4FD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4FD1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4FD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4FD1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iemosaik.at/intro" TargetMode="External"/><Relationship Id="rId13" Type="http://schemas.openxmlformats.org/officeDocument/2006/relationships/hyperlink" Target="https://doi.org/10.1016/j.energy.2021.121805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esr.2021.10075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nature1401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doi.org/10.5334/jors.317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zwickl@eeg.tuwien.ac.a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Platzhalter1</b:Tag>
    <b:SourceType>DocumentFromInternetSite</b:SourceType>
    <b:Guid>{B9A8FB76-0C33-4B51-8888-0A86F1DCCD6F}</b:Guid>
    <b:Title>Communication from the Commission to the European Parliament, the Council, the European Economic and Social Committee and the Committee of the Regions 'Fit for 55': delivering the EU's 2030 climate target on the way to climate neutrality</b:Title>
    <b:Year>2021</b:Year>
    <b:Author>
      <b:Author>
        <b:Corporate>European Commission</b:Corporate>
      </b:Author>
    </b:Author>
    <b:URL>https://eur-lex.europa.eu/legal-content/EN/TXT/?uri=CELEX:52021DC0550</b:URL>
    <b:RefOrder>1</b:RefOrder>
  </b:Source>
</b:Sources>
</file>

<file path=customXml/itemProps1.xml><?xml version="1.0" encoding="utf-8"?>
<ds:datastoreItem xmlns:ds="http://schemas.openxmlformats.org/officeDocument/2006/customXml" ds:itemID="{862007EF-F7F9-458F-9704-3A42D94A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968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Titel, Bezeichnung des Vortrags</vt:lpstr>
      <vt:lpstr>Titel, Bezeichnung des Vortrags</vt:lpstr>
    </vt:vector>
  </TitlesOfParts>
  <Company>TUGRAZ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Titel, Bezeichnung des Vortrags</dc:title>
  <dc:creator>huber</dc:creator>
  <cp:lastModifiedBy>zwickl-nb</cp:lastModifiedBy>
  <cp:revision>147</cp:revision>
  <cp:lastPrinted>2017-12-01T14:02:00Z</cp:lastPrinted>
  <dcterms:created xsi:type="dcterms:W3CDTF">2021-11-11T18:26:00Z</dcterms:created>
  <dcterms:modified xsi:type="dcterms:W3CDTF">2021-11-29T16:05:00Z</dcterms:modified>
</cp:coreProperties>
</file>