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Title"/>
        <w:spacing w:line="266" w:lineRule="auto"/>
      </w:pPr>
      <w:r>
        <w:rPr>
          <w:w w:val="105"/>
        </w:rPr>
        <w:t>Green hydrogen from hydropower:</w:t>
      </w:r>
      <w:r>
        <w:rPr>
          <w:spacing w:val="40"/>
          <w:w w:val="105"/>
        </w:rPr>
        <w:t> </w:t>
      </w:r>
      <w:r>
        <w:rPr>
          <w:w w:val="105"/>
        </w:rPr>
        <w:t>A non-cooperative modeling approach assessing the profitability gap and</w:t>
      </w:r>
      <w:r>
        <w:rPr>
          <w:spacing w:val="40"/>
          <w:w w:val="105"/>
        </w:rPr>
        <w:t> </w:t>
      </w:r>
      <w:r>
        <w:rPr>
          <w:w w:val="105"/>
        </w:rPr>
        <w:t>future business cases</w: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ind w:left="1318" w:right="1341"/>
        <w:jc w:val="center"/>
        <w:rPr>
          <w:rFonts w:ascii="Jokerman" w:hAnsi="Jokerman"/>
        </w:rPr>
      </w:pPr>
      <w:r>
        <w:rPr>
          <w:spacing w:val="-2"/>
        </w:rPr>
        <w:t>Sebastian</w:t>
      </w:r>
      <w:r>
        <w:rPr/>
        <w:t> </w:t>
      </w:r>
      <w:r>
        <w:rPr>
          <w:spacing w:val="-2"/>
        </w:rPr>
        <w:t>Zwickl-Bernhard</w:t>
      </w:r>
      <w:r>
        <w:rPr>
          <w:rFonts w:ascii="Jokerman" w:hAnsi="Jokerman"/>
          <w:spacing w:val="-2"/>
          <w:vertAlign w:val="superscript"/>
        </w:rPr>
        <w:t>a,</w:t>
      </w:r>
      <w:r>
        <w:rPr>
          <w:rFonts w:ascii="Lucida Sans Unicode" w:hAnsi="Lucida Sans Unicode"/>
          <w:spacing w:val="-2"/>
          <w:vertAlign w:val="superscript"/>
        </w:rPr>
        <w:t>∗</w:t>
      </w:r>
      <w:r>
        <w:rPr>
          <w:spacing w:val="-2"/>
          <w:vertAlign w:val="baseline"/>
        </w:rPr>
        <w:t>,</w:t>
      </w:r>
      <w:r>
        <w:rPr>
          <w:vertAlign w:val="baseline"/>
        </w:rPr>
        <w:t> </w:t>
      </w:r>
      <w:r>
        <w:rPr>
          <w:spacing w:val="-2"/>
          <w:vertAlign w:val="baseline"/>
        </w:rPr>
        <w:t>Hans</w:t>
      </w:r>
      <w:r>
        <w:rPr>
          <w:vertAlign w:val="baseline"/>
        </w:rPr>
        <w:t> </w:t>
      </w:r>
      <w:r>
        <w:rPr>
          <w:spacing w:val="-2"/>
          <w:vertAlign w:val="baseline"/>
        </w:rPr>
        <w:t>Auer</w:t>
      </w:r>
      <w:r>
        <w:rPr>
          <w:rFonts w:ascii="Jokerman" w:hAnsi="Jokerman"/>
          <w:spacing w:val="-2"/>
          <w:vertAlign w:val="superscript"/>
        </w:rPr>
        <w:t>a</w:t>
      </w:r>
    </w:p>
    <w:p>
      <w:pPr>
        <w:spacing w:before="132"/>
        <w:ind w:left="1327" w:right="1341" w:firstLine="0"/>
        <w:jc w:val="center"/>
        <w:rPr>
          <w:rFonts w:ascii="Bookman Old Style" w:hAnsi="Bookman Old Style"/>
          <w:b w:val="0"/>
          <w:i/>
          <w:sz w:val="16"/>
        </w:rPr>
      </w:pPr>
      <w:r>
        <w:rPr>
          <w:rFonts w:ascii="Lucida Sans" w:hAnsi="Lucida Sans"/>
          <w:i/>
          <w:spacing w:val="-2"/>
          <w:sz w:val="16"/>
          <w:vertAlign w:val="superscript"/>
        </w:rPr>
        <w:t>a</w:t>
      </w:r>
      <w:r>
        <w:rPr>
          <w:rFonts w:ascii="Bookman Old Style" w:hAnsi="Bookman Old Style"/>
          <w:b w:val="0"/>
          <w:i/>
          <w:spacing w:val="-2"/>
          <w:sz w:val="16"/>
          <w:vertAlign w:val="baseline"/>
        </w:rPr>
        <w:t>Energy Economics Group (EEG), Technische Universit¨at Wien, Gusshausstrasse</w:t>
      </w:r>
      <w:r>
        <w:rPr>
          <w:rFonts w:ascii="Bookman Old Style" w:hAnsi="Bookman Old Style"/>
          <w:b w:val="0"/>
          <w:i/>
          <w:spacing w:val="-2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sz w:val="16"/>
          <w:vertAlign w:val="baseline"/>
        </w:rPr>
        <w:t>25-29/E370-3, 1040 Wien, Austria</w:t>
      </w: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rPr>
          <w:rFonts w:ascii="Bookman Old Style"/>
          <w:b w:val="0"/>
          <w:i/>
        </w:rPr>
      </w:pPr>
    </w:p>
    <w:p>
      <w:pPr>
        <w:pStyle w:val="BodyText"/>
        <w:spacing w:before="9"/>
        <w:rPr>
          <w:rFonts w:ascii="Bookman Old Style"/>
          <w:b w:val="0"/>
          <w:i/>
          <w:sz w:val="19"/>
        </w:rPr>
      </w:pPr>
      <w:r>
        <w:rPr/>
        <w:pict>
          <v:shape style="position:absolute;margin-left:133.768005pt;margin-top:12.838856pt;width:343.75pt;height:.1pt;mso-position-horizontal-relative:page;mso-position-vertical-relative:paragraph;z-index:-15728640;mso-wrap-distance-left:0;mso-wrap-distance-right:0" id="docshape1" coordorigin="2675,257" coordsize="6875,0" path="m2675,257l9550,25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Bookman Old Style"/>
          <w:b w:val="0"/>
          <w:i/>
          <w:sz w:val="10"/>
        </w:rPr>
      </w:pPr>
    </w:p>
    <w:p>
      <w:pPr>
        <w:spacing w:before="66"/>
        <w:ind w:left="955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Abstract</w:t>
      </w:r>
    </w:p>
    <w:p>
      <w:pPr>
        <w:pStyle w:val="BodyText"/>
        <w:spacing w:before="11"/>
        <w:rPr>
          <w:rFonts w:ascii="Georgia"/>
          <w:b/>
          <w:sz w:val="17"/>
        </w:rPr>
      </w:pPr>
    </w:p>
    <w:p>
      <w:pPr>
        <w:pStyle w:val="BodyText"/>
        <w:spacing w:line="259" w:lineRule="auto"/>
        <w:ind w:left="955" w:right="966"/>
        <w:jc w:val="both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investigates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green</w:t>
      </w:r>
      <w:r>
        <w:rPr>
          <w:spacing w:val="-4"/>
        </w:rPr>
        <w:t> </w:t>
      </w:r>
      <w:r>
        <w:rPr/>
        <w:t>hydrogen</w:t>
      </w:r>
      <w:r>
        <w:rPr>
          <w:spacing w:val="-4"/>
        </w:rPr>
        <w:t> </w:t>
      </w:r>
      <w:r>
        <w:rPr/>
        <w:t>pro- duction from hydropower.</w:t>
      </w:r>
      <w:r>
        <w:rPr>
          <w:spacing w:val="40"/>
        </w:rPr>
        <w:t> </w:t>
      </w:r>
      <w:r>
        <w:rPr/>
        <w:t>The main research question is to find the trade- offs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run-of-river</w:t>
      </w:r>
      <w:r>
        <w:rPr>
          <w:spacing w:val="-13"/>
        </w:rPr>
        <w:t> </w:t>
      </w:r>
      <w:r>
        <w:rPr/>
        <w:t>hydropower</w:t>
      </w:r>
      <w:r>
        <w:rPr>
          <w:spacing w:val="-13"/>
        </w:rPr>
        <w:t> </w:t>
      </w:r>
      <w:r>
        <w:rPr/>
        <w:t>plant</w:t>
      </w:r>
      <w:r>
        <w:rPr>
          <w:spacing w:val="-13"/>
        </w:rPr>
        <w:t> </w:t>
      </w:r>
      <w:r>
        <w:rPr/>
        <w:t>owner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currently</w:t>
      </w:r>
      <w:r>
        <w:rPr>
          <w:spacing w:val="-13"/>
        </w:rPr>
        <w:t> </w:t>
      </w:r>
      <w:r>
        <w:rPr/>
        <w:t>prevailing business model of wholesale electricity trading and, alternatively, production of green hydrogen.</w:t>
      </w:r>
      <w:r>
        <w:rPr>
          <w:spacing w:val="40"/>
        </w:rPr>
        <w:t> </w:t>
      </w:r>
      <w:r>
        <w:rPr/>
        <w:t>Hence, a bi-level optimization framework between a hy- dropower</w:t>
      </w:r>
      <w:r>
        <w:rPr>
          <w:spacing w:val="-11"/>
        </w:rPr>
        <w:t> </w:t>
      </w:r>
      <w:r>
        <w:rPr/>
        <w:t>plant</w:t>
      </w:r>
      <w:r>
        <w:rPr>
          <w:spacing w:val="-11"/>
        </w:rPr>
        <w:t> </w:t>
      </w:r>
      <w:r>
        <w:rPr/>
        <w:t>owner</w:t>
      </w:r>
      <w:r>
        <w:rPr>
          <w:spacing w:val="-11"/>
        </w:rPr>
        <w:t> </w:t>
      </w:r>
      <w:r>
        <w:rPr/>
        <w:t>(H</w:t>
      </w:r>
      <w:r>
        <w:rPr>
          <w:rFonts w:ascii="Jokerman"/>
          <w:vertAlign w:val="subscript"/>
        </w:rPr>
        <w:t>2</w:t>
      </w:r>
      <w:r>
        <w:rPr>
          <w:rFonts w:ascii="Jokerman"/>
          <w:spacing w:val="15"/>
          <w:vertAlign w:val="baseline"/>
        </w:rPr>
        <w:t> </w:t>
      </w:r>
      <w:r>
        <w:rPr>
          <w:vertAlign w:val="baseline"/>
        </w:rPr>
        <w:t>producer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price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setter)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transportation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firm (H</w:t>
      </w:r>
      <w:r>
        <w:rPr>
          <w:rFonts w:ascii="Jokerman"/>
          <w:vertAlign w:val="subscript"/>
        </w:rPr>
        <w:t>2</w:t>
      </w:r>
      <w:r>
        <w:rPr>
          <w:rFonts w:ascii="Jokerman"/>
          <w:spacing w:val="36"/>
          <w:vertAlign w:val="baseline"/>
        </w:rPr>
        <w:t> </w:t>
      </w:r>
      <w:r>
        <w:rPr>
          <w:vertAlign w:val="baseline"/>
        </w:rPr>
        <w:t>consumer) is developed.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empirical scaling of the numerical example describes</w:t>
      </w:r>
      <w:r>
        <w:rPr>
          <w:spacing w:val="-7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7"/>
          <w:vertAlign w:val="baseline"/>
        </w:rPr>
        <w:t> </w:t>
      </w:r>
      <w:r>
        <w:rPr>
          <w:vertAlign w:val="baseline"/>
        </w:rPr>
        <w:t>Western</w:t>
      </w:r>
      <w:r>
        <w:rPr>
          <w:spacing w:val="-7"/>
          <w:vertAlign w:val="baseline"/>
        </w:rPr>
        <w:t> </w:t>
      </w:r>
      <w:r>
        <w:rPr>
          <w:vertAlign w:val="baseline"/>
        </w:rPr>
        <w:t>European</w:t>
      </w:r>
      <w:r>
        <w:rPr>
          <w:spacing w:val="-7"/>
          <w:vertAlign w:val="baseline"/>
        </w:rPr>
        <w:t> </w:t>
      </w:r>
      <w:r>
        <w:rPr>
          <w:vertAlign w:val="baseline"/>
        </w:rPr>
        <w:t>wholesale</w:t>
      </w:r>
      <w:r>
        <w:rPr>
          <w:spacing w:val="-7"/>
          <w:vertAlign w:val="baseline"/>
        </w:rPr>
        <w:t> </w:t>
      </w:r>
      <w:r>
        <w:rPr>
          <w:vertAlign w:val="baseline"/>
        </w:rPr>
        <w:t>electricity</w:t>
      </w:r>
      <w:r>
        <w:rPr>
          <w:spacing w:val="-7"/>
          <w:vertAlign w:val="baseline"/>
        </w:rPr>
        <w:t> </w:t>
      </w:r>
      <w:r>
        <w:rPr>
          <w:vertAlign w:val="baseline"/>
        </w:rPr>
        <w:t>market</w:t>
      </w:r>
      <w:r>
        <w:rPr>
          <w:spacing w:val="-7"/>
          <w:vertAlign w:val="baseline"/>
        </w:rPr>
        <w:t> </w:t>
      </w:r>
      <w:r>
        <w:rPr>
          <w:vertAlign w:val="baseline"/>
        </w:rPr>
        <w:t>settings.</w:t>
      </w:r>
      <w:r>
        <w:rPr>
          <w:spacing w:val="19"/>
          <w:vertAlign w:val="baseline"/>
        </w:rPr>
        <w:t> </w:t>
      </w:r>
      <w:r>
        <w:rPr>
          <w:vertAlign w:val="baseline"/>
        </w:rPr>
        <w:t>Re- sults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market</w:t>
      </w:r>
      <w:r>
        <w:rPr>
          <w:spacing w:val="-16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price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setup</w:t>
      </w:r>
      <w:r>
        <w:rPr>
          <w:spacing w:val="-17"/>
          <w:vertAlign w:val="baseline"/>
        </w:rPr>
        <w:t> </w:t>
      </w:r>
      <w:r>
        <w:rPr>
          <w:vertAlign w:val="baseline"/>
        </w:rPr>
        <w:t>do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allow for profitable green hydrogen production as yet.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an increasing CO</w:t>
      </w:r>
      <w:r>
        <w:rPr>
          <w:rFonts w:ascii="Jokerman"/>
          <w:vertAlign w:val="subscript"/>
        </w:rPr>
        <w:t>2</w:t>
      </w:r>
      <w:r>
        <w:rPr>
          <w:rFonts w:ascii="Jokerman"/>
          <w:vertAlign w:val="baseline"/>
        </w:rPr>
        <w:t> </w:t>
      </w:r>
      <w:r>
        <w:rPr>
          <w:vertAlign w:val="baseline"/>
        </w:rPr>
        <w:t>price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key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7"/>
          <w:vertAlign w:val="baseline"/>
        </w:rPr>
        <w:t> </w:t>
      </w:r>
      <w:r>
        <w:rPr>
          <w:vertAlign w:val="baseline"/>
        </w:rPr>
        <w:t>leads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improved</w:t>
      </w:r>
      <w:r>
        <w:rPr>
          <w:spacing w:val="-7"/>
          <w:vertAlign w:val="baseline"/>
        </w:rPr>
        <w:t> </w:t>
      </w:r>
      <w:r>
        <w:rPr>
          <w:vertAlign w:val="baseline"/>
        </w:rPr>
        <w:t>competitiveness</w:t>
      </w:r>
      <w:r>
        <w:rPr>
          <w:spacing w:val="-7"/>
          <w:vertAlign w:val="baseline"/>
        </w:rPr>
        <w:t> </w:t>
      </w:r>
      <w:r>
        <w:rPr>
          <w:vertAlign w:val="baseline"/>
        </w:rPr>
        <w:t>and expected</w:t>
      </w:r>
      <w:r>
        <w:rPr>
          <w:spacing w:val="-17"/>
          <w:vertAlign w:val="baseline"/>
        </w:rPr>
        <w:t> </w:t>
      </w:r>
      <w:r>
        <w:rPr>
          <w:vertAlign w:val="baseline"/>
        </w:rPr>
        <w:t>profitability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business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</w:t>
      </w:r>
      <w:r>
        <w:rPr>
          <w:spacing w:val="-16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work.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numerical example</w:t>
      </w:r>
      <w:r>
        <w:rPr>
          <w:spacing w:val="-13"/>
          <w:vertAlign w:val="baseline"/>
        </w:rPr>
        <w:t> </w:t>
      </w:r>
      <w:r>
        <w:rPr>
          <w:vertAlign w:val="baseline"/>
        </w:rPr>
        <w:t>examined, a CO</w:t>
      </w:r>
      <w:r>
        <w:rPr>
          <w:rFonts w:ascii="Jokerman"/>
          <w:vertAlign w:val="subscript"/>
        </w:rPr>
        <w:t>2</w:t>
      </w:r>
      <w:r>
        <w:rPr>
          <w:rFonts w:ascii="Jokerman"/>
          <w:spacing w:val="32"/>
          <w:vertAlign w:val="baseline"/>
        </w:rPr>
        <w:t> </w:t>
      </w:r>
      <w:r>
        <w:rPr>
          <w:vertAlign w:val="baseline"/>
        </w:rPr>
        <w:t>price above 245</w:t>
      </w:r>
      <w:r>
        <w:rPr>
          <w:spacing w:val="-17"/>
          <w:vertAlign w:val="baseline"/>
        </w:rPr>
        <w:t> </w:t>
      </w:r>
      <w:r>
        <w:rPr>
          <w:vertAlign w:val="baseline"/>
        </w:rPr>
        <w:t>EUR</w:t>
      </w:r>
      <w:r>
        <w:rPr>
          <w:rFonts w:ascii="Garamond"/>
          <w:i/>
          <w:vertAlign w:val="baseline"/>
        </w:rPr>
        <w:t>/</w:t>
      </w:r>
      <w:r>
        <w:rPr>
          <w:vertAlign w:val="baseline"/>
        </w:rPr>
        <w:t>t triggers profitability, </w:t>
      </w:r>
      <w:r>
        <w:rPr>
          <w:color w:val="0000FF"/>
          <w:u w:val="single" w:color="0000FF"/>
          <w:vertAlign w:val="baseline"/>
        </w:rPr>
        <w:t>when</w:t>
      </w:r>
      <w:r>
        <w:rPr>
          <w:color w:val="0000FF"/>
          <w:vertAlign w:val="baseline"/>
        </w:rPr>
        <w:t> </w:t>
      </w:r>
      <w:r>
        <w:rPr>
          <w:color w:val="0000FF"/>
          <w:u w:val="single" w:color="0000FF"/>
          <w:vertAlign w:val="baseline"/>
        </w:rPr>
        <w:t>green</w:t>
      </w:r>
      <w:r>
        <w:rPr>
          <w:color w:val="0000FF"/>
          <w:spacing w:val="-10"/>
          <w:u w:val="single" w:color="0000FF"/>
          <w:vertAlign w:val="baseline"/>
        </w:rPr>
        <w:t> </w:t>
      </w:r>
      <w:r>
        <w:rPr>
          <w:color w:val="0000FF"/>
          <w:u w:val="single" w:color="0000FF"/>
          <w:vertAlign w:val="baseline"/>
        </w:rPr>
        <w:t>hydrogen</w:t>
      </w:r>
      <w:r>
        <w:rPr>
          <w:color w:val="0000FF"/>
          <w:spacing w:val="-11"/>
          <w:u w:val="single" w:color="0000FF"/>
          <w:vertAlign w:val="baseline"/>
        </w:rPr>
        <w:t> </w:t>
      </w:r>
      <w:r>
        <w:rPr>
          <w:color w:val="0000FF"/>
          <w:u w:val="single" w:color="0000FF"/>
          <w:vertAlign w:val="baseline"/>
        </w:rPr>
        <w:t>production</w:t>
      </w:r>
      <w:r>
        <w:rPr>
          <w:color w:val="0000FF"/>
          <w:spacing w:val="-11"/>
          <w:u w:val="single" w:color="0000FF"/>
          <w:vertAlign w:val="baseline"/>
        </w:rPr>
        <w:t> </w:t>
      </w:r>
      <w:r>
        <w:rPr>
          <w:color w:val="0000FF"/>
          <w:u w:val="single" w:color="0000FF"/>
          <w:vertAlign w:val="baseline"/>
        </w:rPr>
        <w:t>is</w:t>
      </w:r>
      <w:r>
        <w:rPr>
          <w:color w:val="0000FF"/>
          <w:spacing w:val="-10"/>
          <w:u w:val="single" w:color="0000FF"/>
          <w:vertAlign w:val="baseline"/>
        </w:rPr>
        <w:t> </w:t>
      </w:r>
      <w:r>
        <w:rPr>
          <w:color w:val="0000FF"/>
          <w:u w:val="single" w:color="0000FF"/>
          <w:vertAlign w:val="baseline"/>
        </w:rPr>
        <w:t>competing</w:t>
      </w:r>
      <w:r>
        <w:rPr>
          <w:color w:val="0000FF"/>
          <w:spacing w:val="-10"/>
          <w:u w:val="single" w:color="0000FF"/>
          <w:vertAlign w:val="baseline"/>
        </w:rPr>
        <w:t> </w:t>
      </w:r>
      <w:r>
        <w:rPr>
          <w:color w:val="0000FF"/>
          <w:u w:val="single" w:color="0000FF"/>
          <w:vertAlign w:val="baseline"/>
        </w:rPr>
        <w:t>with</w:t>
      </w:r>
      <w:r>
        <w:rPr>
          <w:color w:val="0000FF"/>
          <w:spacing w:val="-10"/>
          <w:u w:val="single" w:color="0000FF"/>
          <w:vertAlign w:val="baseline"/>
        </w:rPr>
        <w:t> </w:t>
      </w:r>
      <w:r>
        <w:rPr>
          <w:color w:val="0000FF"/>
          <w:u w:val="single" w:color="0000FF"/>
          <w:vertAlign w:val="baseline"/>
        </w:rPr>
        <w:t>a</w:t>
      </w:r>
      <w:r>
        <w:rPr>
          <w:color w:val="0000FF"/>
          <w:spacing w:val="-10"/>
          <w:u w:val="single" w:color="0000FF"/>
          <w:vertAlign w:val="baseline"/>
        </w:rPr>
        <w:t> </w:t>
      </w:r>
      <w:r>
        <w:rPr>
          <w:color w:val="0000FF"/>
          <w:u w:val="single" w:color="0000FF"/>
          <w:vertAlign w:val="baseline"/>
        </w:rPr>
        <w:t>future</w:t>
      </w:r>
      <w:r>
        <w:rPr>
          <w:color w:val="0000FF"/>
          <w:spacing w:val="-10"/>
          <w:u w:val="single" w:color="0000FF"/>
          <w:vertAlign w:val="baseline"/>
        </w:rPr>
        <w:t> </w:t>
      </w:r>
      <w:r>
        <w:rPr>
          <w:color w:val="0000FF"/>
          <w:u w:val="single" w:color="0000FF"/>
          <w:vertAlign w:val="baseline"/>
        </w:rPr>
        <w:t>electricity</w:t>
      </w:r>
      <w:r>
        <w:rPr>
          <w:color w:val="0000FF"/>
          <w:spacing w:val="-10"/>
          <w:u w:val="single" w:color="0000FF"/>
          <w:vertAlign w:val="baseline"/>
        </w:rPr>
        <w:t> </w:t>
      </w:r>
      <w:r>
        <w:rPr>
          <w:color w:val="0000FF"/>
          <w:u w:val="single" w:color="0000FF"/>
          <w:vertAlign w:val="baseline"/>
        </w:rPr>
        <w:t>contract</w:t>
      </w:r>
      <w:r>
        <w:rPr>
          <w:color w:val="0000FF"/>
          <w:spacing w:val="-11"/>
          <w:u w:val="single" w:color="0000FF"/>
          <w:vertAlign w:val="baseline"/>
        </w:rPr>
        <w:t> </w:t>
      </w:r>
      <w:r>
        <w:rPr>
          <w:color w:val="0000FF"/>
          <w:u w:val="single" w:color="0000FF"/>
          <w:vertAlign w:val="baseline"/>
        </w:rPr>
        <w:t>price</w:t>
      </w:r>
      <w:r>
        <w:rPr>
          <w:color w:val="0000FF"/>
          <w:vertAlign w:val="baseline"/>
        </w:rPr>
        <w:t> </w:t>
      </w:r>
      <w:r>
        <w:rPr>
          <w:color w:val="0000FF"/>
          <w:u w:val="single" w:color="0000FF"/>
          <w:vertAlign w:val="baseline"/>
        </w:rPr>
        <w:t>of</w:t>
      </w:r>
      <w:r>
        <w:rPr>
          <w:color w:val="0000FF"/>
          <w:vertAlign w:val="baseline"/>
        </w:rPr>
        <w:t> </w:t>
      </w:r>
      <w:r>
        <w:rPr>
          <w:vertAlign w:val="baseline"/>
        </w:rPr>
        <w:t>45</w:t>
      </w:r>
      <w:r>
        <w:rPr>
          <w:spacing w:val="-15"/>
          <w:vertAlign w:val="baseline"/>
        </w:rPr>
        <w:t> </w:t>
      </w:r>
      <w:r>
        <w:rPr>
          <w:vertAlign w:val="baseline"/>
        </w:rPr>
        <w:t>EUR</w:t>
      </w:r>
      <w:r>
        <w:rPr>
          <w:rFonts w:ascii="Garamond"/>
          <w:i/>
          <w:vertAlign w:val="baseline"/>
        </w:rPr>
        <w:t>/</w:t>
      </w:r>
      <w:r>
        <w:rPr>
          <w:vertAlign w:val="baseline"/>
        </w:rPr>
        <w:t>MWh.</w:t>
      </w:r>
    </w:p>
    <w:p>
      <w:pPr>
        <w:pStyle w:val="BodyText"/>
        <w:spacing w:line="259" w:lineRule="auto" w:before="29"/>
        <w:ind w:left="955" w:right="409"/>
      </w:pPr>
      <w:r>
        <w:rPr>
          <w:i/>
        </w:rPr>
        <w:t>Keywords:</w:t>
      </w:r>
      <w:r>
        <w:rPr>
          <w:i/>
          <w:spacing w:val="79"/>
        </w:rPr>
        <w:t> </w:t>
      </w:r>
      <w:r>
        <w:rPr/>
        <w:t>Green</w:t>
      </w:r>
      <w:r>
        <w:rPr>
          <w:spacing w:val="-11"/>
        </w:rPr>
        <w:t> </w:t>
      </w:r>
      <w:r>
        <w:rPr/>
        <w:t>hydrogen,</w:t>
      </w:r>
      <w:r>
        <w:rPr>
          <w:spacing w:val="-10"/>
        </w:rPr>
        <w:t> </w:t>
      </w:r>
      <w:r>
        <w:rPr/>
        <w:t>Hydropower,</w:t>
      </w:r>
      <w:r>
        <w:rPr>
          <w:spacing w:val="-11"/>
        </w:rPr>
        <w:t> </w:t>
      </w:r>
      <w:r>
        <w:rPr/>
        <w:t>Non-cooperative</w:t>
      </w:r>
      <w:r>
        <w:rPr>
          <w:spacing w:val="-11"/>
        </w:rPr>
        <w:t> </w:t>
      </w:r>
      <w:r>
        <w:rPr/>
        <w:t>game,</w:t>
      </w:r>
      <w:r>
        <w:rPr>
          <w:spacing w:val="-11"/>
        </w:rPr>
        <w:t> </w:t>
      </w:r>
      <w:r>
        <w:rPr/>
        <w:t>Resource allocation, Profitability, CO</w:t>
      </w:r>
      <w:r>
        <w:rPr>
          <w:rFonts w:ascii="Jokerman"/>
          <w:vertAlign w:val="subscript"/>
        </w:rPr>
        <w:t>2</w:t>
      </w:r>
      <w:r>
        <w:rPr>
          <w:rFonts w:ascii="Jokerman"/>
          <w:spacing w:val="40"/>
          <w:vertAlign w:val="baseline"/>
        </w:rPr>
        <w:t> </w:t>
      </w:r>
      <w:r>
        <w:rPr>
          <w:vertAlign w:val="baseline"/>
        </w:rPr>
        <w:t>price</w:t>
      </w:r>
    </w:p>
    <w:p>
      <w:pPr>
        <w:pStyle w:val="BodyText"/>
        <w:spacing w:before="6"/>
        <w:rPr>
          <w:sz w:val="5"/>
        </w:rPr>
      </w:pPr>
      <w:r>
        <w:rPr/>
        <w:pict>
          <v:shape style="position:absolute;margin-left:133.768005pt;margin-top:5.689095pt;width:343.75pt;height:.1pt;mso-position-horizontal-relative:page;mso-position-vertical-relative:paragraph;z-index:-15728128;mso-wrap-distance-left:0;mso-wrap-distance-right:0" id="docshape2" coordorigin="2675,114" coordsize="6875,0" path="m2675,114l9550,11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133.768005pt;margin-top:25.737pt;width:137.5pt;height:.1pt;mso-position-horizontal-relative:page;mso-position-vertical-relative:paragraph;z-index:-15727616;mso-wrap-distance-left:0;mso-wrap-distance-right:0" id="docshape3" coordorigin="2675,515" coordsize="2750,0" path="m2675,515l5425,51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19" w:lineRule="exact" w:before="0"/>
        <w:ind w:left="955" w:right="0" w:firstLine="0"/>
        <w:jc w:val="left"/>
        <w:rPr>
          <w:rFonts w:ascii="Bookman Old Style" w:hAnsi="Bookman Old Style"/>
          <w:b w:val="0"/>
          <w:sz w:val="16"/>
        </w:rPr>
      </w:pPr>
      <w:r>
        <w:rPr>
          <w:rFonts w:ascii="Lucida Sans Unicode" w:hAnsi="Lucida Sans Unicode"/>
          <w:w w:val="90"/>
          <w:position w:val="6"/>
          <w:sz w:val="12"/>
        </w:rPr>
        <w:t>∗</w:t>
      </w:r>
      <w:r>
        <w:rPr>
          <w:rFonts w:ascii="Bookman Old Style" w:hAnsi="Bookman Old Style"/>
          <w:b w:val="0"/>
          <w:w w:val="90"/>
          <w:sz w:val="16"/>
        </w:rPr>
        <w:t>Corresponding</w:t>
      </w:r>
      <w:r>
        <w:rPr>
          <w:rFonts w:ascii="Bookman Old Style" w:hAnsi="Bookman Old Style"/>
          <w:b w:val="0"/>
          <w:spacing w:val="42"/>
          <w:sz w:val="16"/>
        </w:rPr>
        <w:t> </w:t>
      </w:r>
      <w:r>
        <w:rPr>
          <w:rFonts w:ascii="Bookman Old Style" w:hAnsi="Bookman Old Style"/>
          <w:b w:val="0"/>
          <w:spacing w:val="-2"/>
          <w:sz w:val="16"/>
        </w:rPr>
        <w:t>author</w:t>
      </w:r>
    </w:p>
    <w:p>
      <w:pPr>
        <w:spacing w:line="192" w:lineRule="exact" w:before="0"/>
        <w:ind w:left="965" w:right="0" w:firstLine="0"/>
        <w:jc w:val="left"/>
        <w:rPr>
          <w:rFonts w:ascii="Bookman Old Style"/>
          <w:b w:val="0"/>
          <w:sz w:val="16"/>
        </w:rPr>
      </w:pPr>
      <w:r>
        <w:rPr>
          <w:rFonts w:ascii="Bookman Old Style"/>
          <w:b w:val="0"/>
          <w:i/>
          <w:sz w:val="16"/>
        </w:rPr>
        <w:t>Email</w:t>
      </w:r>
      <w:r>
        <w:rPr>
          <w:rFonts w:ascii="Bookman Old Style"/>
          <w:b w:val="0"/>
          <w:i/>
          <w:spacing w:val="10"/>
          <w:sz w:val="16"/>
        </w:rPr>
        <w:t> </w:t>
      </w:r>
      <w:r>
        <w:rPr>
          <w:rFonts w:ascii="Bookman Old Style"/>
          <w:b w:val="0"/>
          <w:i/>
          <w:sz w:val="16"/>
        </w:rPr>
        <w:t>address:</w:t>
      </w:r>
      <w:r>
        <w:rPr>
          <w:rFonts w:ascii="Bookman Old Style"/>
          <w:b w:val="0"/>
          <w:i/>
          <w:spacing w:val="35"/>
          <w:sz w:val="16"/>
        </w:rPr>
        <w:t> </w:t>
      </w:r>
      <w:hyperlink r:id="rId5">
        <w:r>
          <w:rPr>
            <w:rFonts w:ascii="Century"/>
            <w:sz w:val="16"/>
          </w:rPr>
          <w:t>zwickl@eeg.tuwien.ac.at</w:t>
        </w:r>
        <w:r>
          <w:rPr>
            <w:rFonts w:ascii="Century"/>
            <w:spacing w:val="10"/>
            <w:sz w:val="16"/>
          </w:rPr>
          <w:t> </w:t>
        </w:r>
      </w:hyperlink>
      <w:r>
        <w:rPr>
          <w:rFonts w:ascii="Bookman Old Style"/>
          <w:b w:val="0"/>
          <w:sz w:val="16"/>
        </w:rPr>
        <w:t>(Sebastian</w:t>
      </w:r>
      <w:r>
        <w:rPr>
          <w:rFonts w:ascii="Bookman Old Style"/>
          <w:b w:val="0"/>
          <w:spacing w:val="3"/>
          <w:sz w:val="16"/>
        </w:rPr>
        <w:t> </w:t>
      </w:r>
      <w:r>
        <w:rPr>
          <w:rFonts w:ascii="Bookman Old Style"/>
          <w:b w:val="0"/>
          <w:sz w:val="16"/>
        </w:rPr>
        <w:t>Zwickl-</w:t>
      </w:r>
      <w:r>
        <w:rPr>
          <w:rFonts w:ascii="Bookman Old Style"/>
          <w:b w:val="0"/>
          <w:spacing w:val="-2"/>
          <w:sz w:val="16"/>
        </w:rPr>
        <w:t>Bernhard)</w:t>
      </w:r>
    </w:p>
    <w:p>
      <w:pPr>
        <w:pStyle w:val="BodyText"/>
        <w:rPr>
          <w:rFonts w:ascii="Bookman Old Style"/>
          <w:b w:val="0"/>
          <w:sz w:val="16"/>
        </w:rPr>
      </w:pPr>
    </w:p>
    <w:p>
      <w:pPr>
        <w:pStyle w:val="BodyText"/>
        <w:spacing w:before="10"/>
        <w:rPr>
          <w:rFonts w:ascii="Bookman Old Style"/>
          <w:b w:val="0"/>
          <w:sz w:val="18"/>
        </w:rPr>
      </w:pPr>
    </w:p>
    <w:p>
      <w:pPr>
        <w:tabs>
          <w:tab w:pos="6894" w:val="left" w:leader="none"/>
        </w:tabs>
        <w:spacing w:before="1"/>
        <w:ind w:left="955" w:right="0" w:firstLine="0"/>
        <w:jc w:val="left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spacing w:val="-2"/>
          <w:sz w:val="16"/>
        </w:rPr>
        <w:t>Preprint submitted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2"/>
          <w:sz w:val="16"/>
        </w:rPr>
        <w:t>to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2"/>
          <w:sz w:val="16"/>
        </w:rPr>
        <w:t>Energy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2"/>
          <w:sz w:val="16"/>
        </w:rPr>
        <w:t>Strategy</w:t>
      </w:r>
      <w:r>
        <w:rPr>
          <w:rFonts w:ascii="Bookman Old Style"/>
          <w:b w:val="0"/>
          <w:i/>
          <w:spacing w:val="-1"/>
          <w:sz w:val="16"/>
        </w:rPr>
        <w:t> </w:t>
      </w:r>
      <w:r>
        <w:rPr>
          <w:rFonts w:ascii="Bookman Old Style"/>
          <w:b w:val="0"/>
          <w:i/>
          <w:spacing w:val="-2"/>
          <w:sz w:val="16"/>
        </w:rPr>
        <w:t>Reviews</w:t>
      </w:r>
      <w:r>
        <w:rPr>
          <w:rFonts w:ascii="Bookman Old Style"/>
          <w:b w:val="0"/>
          <w:i/>
          <w:sz w:val="16"/>
        </w:rPr>
        <w:tab/>
        <w:t>May</w:t>
      </w:r>
      <w:r>
        <w:rPr>
          <w:rFonts w:ascii="Bookman Old Style"/>
          <w:b w:val="0"/>
          <w:i/>
          <w:spacing w:val="3"/>
          <w:sz w:val="16"/>
        </w:rPr>
        <w:t> </w:t>
      </w:r>
      <w:r>
        <w:rPr>
          <w:rFonts w:ascii="Bookman Old Style"/>
          <w:b w:val="0"/>
          <w:i/>
          <w:sz w:val="16"/>
        </w:rPr>
        <w:t>6,</w:t>
      </w:r>
      <w:r>
        <w:rPr>
          <w:rFonts w:ascii="Bookman Old Style"/>
          <w:b w:val="0"/>
          <w:i/>
          <w:spacing w:val="4"/>
          <w:sz w:val="16"/>
        </w:rPr>
        <w:t> </w:t>
      </w:r>
      <w:r>
        <w:rPr>
          <w:rFonts w:ascii="Bookman Old Style"/>
          <w:b w:val="0"/>
          <w:i/>
          <w:spacing w:val="-4"/>
          <w:sz w:val="16"/>
        </w:rPr>
        <w:t>2022</w: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Euclid">
    <w:altName w:val="Euclid"/>
    <w:charset w:val="0"/>
    <w:family w:val="roman"/>
    <w:pitch w:val="variable"/>
  </w:font>
  <w:font w:name="Jokerman">
    <w:altName w:val="Jokerman"/>
    <w:charset w:val="0"/>
    <w:family w:val="decorative"/>
    <w:pitch w:val="variable"/>
  </w:font>
  <w:font w:name="Lucida Sans Unicode">
    <w:altName w:val="Lucida Sans Unicode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Euclid" w:hAnsi="Euclid" w:eastAsia="Euclid" w:cs="Euclid"/>
    </w:rPr>
  </w:style>
  <w:style w:styleId="BodyText" w:type="paragraph">
    <w:name w:val="Body Text"/>
    <w:basedOn w:val="Normal"/>
    <w:uiPriority w:val="1"/>
    <w:qFormat/>
    <w:pPr/>
    <w:rPr>
      <w:rFonts w:ascii="Euclid" w:hAnsi="Euclid" w:eastAsia="Euclid" w:cs="Euclid"/>
      <w:sz w:val="20"/>
      <w:szCs w:val="20"/>
    </w:rPr>
  </w:style>
  <w:style w:styleId="Title" w:type="paragraph">
    <w:name w:val="Title"/>
    <w:basedOn w:val="Normal"/>
    <w:uiPriority w:val="1"/>
    <w:qFormat/>
    <w:pPr>
      <w:spacing w:before="54"/>
      <w:ind w:left="1088" w:right="1100" w:hanging="3"/>
      <w:jc w:val="center"/>
    </w:pPr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wickl@eeg.tuwien.ac.a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Zwickl-Bernhard; Hans Auer; </dc:creator>
  <dc:title>Green hydrogen from hydropower: A non-cooperative modeling approach assessing the profitability gap and future business cases</dc:title>
  <dcterms:created xsi:type="dcterms:W3CDTF">2022-05-06T14:19:28Z</dcterms:created>
  <dcterms:modified xsi:type="dcterms:W3CDTF">2022-05-06T14:19:28Z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2022-05-06T00:00:00Z</vt:filetime>
  </property>
</Properties>
</file>