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6A8FA8" w14:textId="2DEFF77C" w:rsidR="00E2596F" w:rsidRPr="004B7732" w:rsidRDefault="004D739B" w:rsidP="00725939">
      <w:pPr>
        <w:pStyle w:val="TITEL"/>
        <w:outlineLvl w:val="0"/>
        <w:rPr>
          <w:smallCaps/>
          <w:lang w:val="en-US"/>
        </w:rPr>
      </w:pPr>
      <w:r>
        <w:rPr>
          <w:smallCaps/>
          <w:lang w:val="en-US"/>
        </w:rPr>
        <w:t>Equitable</w:t>
      </w:r>
      <w:r w:rsidR="0023321E" w:rsidRPr="0023321E">
        <w:rPr>
          <w:smallCaps/>
          <w:lang w:val="en-US"/>
        </w:rPr>
        <w:t xml:space="preserve"> decarbonization </w:t>
      </w:r>
      <w:r>
        <w:rPr>
          <w:smallCaps/>
          <w:lang w:val="en-US"/>
        </w:rPr>
        <w:t xml:space="preserve">of </w:t>
      </w:r>
      <w:r w:rsidR="0023321E" w:rsidRPr="0023321E">
        <w:rPr>
          <w:smallCaps/>
          <w:lang w:val="en-US"/>
        </w:rPr>
        <w:t>the heat supply of</w:t>
      </w:r>
      <w:r w:rsidR="00A03C71">
        <w:rPr>
          <w:smallCaps/>
          <w:lang w:val="en-US"/>
        </w:rPr>
        <w:t xml:space="preserve"> rented residential buildings</w:t>
      </w:r>
      <w:r w:rsidR="0023321E" w:rsidRPr="0023321E">
        <w:rPr>
          <w:smallCaps/>
          <w:lang w:val="en-US"/>
        </w:rPr>
        <w:t>:</w:t>
      </w:r>
      <w:r w:rsidR="0023321E">
        <w:rPr>
          <w:smallCaps/>
          <w:lang w:val="en-US"/>
        </w:rPr>
        <w:t xml:space="preserve"> </w:t>
      </w:r>
      <w:r w:rsidR="00562007">
        <w:rPr>
          <w:smallCaps/>
          <w:lang w:val="en-US"/>
        </w:rPr>
        <w:t>O</w:t>
      </w:r>
      <w:r w:rsidR="000E743C">
        <w:rPr>
          <w:smallCaps/>
          <w:lang w:val="en-US"/>
        </w:rPr>
        <w:t xml:space="preserve">ptimal </w:t>
      </w:r>
      <w:r w:rsidR="00F33663" w:rsidRPr="004B7732">
        <w:rPr>
          <w:smallCaps/>
          <w:lang w:val="en-US"/>
        </w:rPr>
        <w:t xml:space="preserve">subsidization strategy </w:t>
      </w:r>
      <w:r w:rsidR="0023321E">
        <w:rPr>
          <w:smallCaps/>
          <w:lang w:val="en-US"/>
        </w:rPr>
        <w:t>under</w:t>
      </w:r>
      <w:r w:rsidR="000E743C">
        <w:rPr>
          <w:smallCaps/>
          <w:lang w:val="en-US"/>
        </w:rPr>
        <w:t xml:space="preserve"> </w:t>
      </w:r>
      <w:r w:rsidR="000C53CE">
        <w:rPr>
          <w:smallCaps/>
          <w:lang w:val="en-US"/>
        </w:rPr>
        <w:t>a</w:t>
      </w:r>
      <w:r w:rsidR="003824C0">
        <w:rPr>
          <w:smallCaps/>
          <w:lang w:val="en-US"/>
        </w:rPr>
        <w:t>llocating</w:t>
      </w:r>
      <w:r w:rsidR="000E743C">
        <w:rPr>
          <w:smallCaps/>
          <w:lang w:val="en-US"/>
        </w:rPr>
        <w:t xml:space="preserve"> </w:t>
      </w:r>
      <w:r w:rsidR="003824C0">
        <w:rPr>
          <w:smallCaps/>
          <w:lang w:val="en-US"/>
        </w:rPr>
        <w:t>the costs of inaction</w:t>
      </w:r>
      <w:r w:rsidR="0023321E">
        <w:rPr>
          <w:smallCaps/>
          <w:lang w:val="en-US"/>
        </w:rPr>
        <w:t xml:space="preserve"> </w:t>
      </w:r>
    </w:p>
    <w:p w14:paraId="1BF7737F" w14:textId="4626CC71" w:rsidR="00725939" w:rsidRPr="0023321E" w:rsidRDefault="00051F96" w:rsidP="00E45528">
      <w:pPr>
        <w:pStyle w:val="Autoren"/>
        <w:rPr>
          <w:lang w:val="de-AT"/>
        </w:rPr>
      </w:pPr>
      <w:r w:rsidRPr="0023321E">
        <w:rPr>
          <w:lang w:val="de-AT"/>
        </w:rPr>
        <w:t>Sebastian Zwickl-Bernhard</w:t>
      </w:r>
      <w:r w:rsidRPr="0023321E">
        <w:rPr>
          <w:rStyle w:val="Funotenzeichen"/>
          <w:lang w:val="de-AT"/>
        </w:rPr>
        <w:t>1</w:t>
      </w:r>
      <w:r w:rsidR="00E45528" w:rsidRPr="0023321E">
        <w:rPr>
          <w:lang w:val="de-AT"/>
        </w:rPr>
        <w:t xml:space="preserve">, </w:t>
      </w:r>
      <w:r w:rsidR="00E45528" w:rsidRPr="0023321E">
        <w:rPr>
          <w:u w:val="single"/>
          <w:lang w:val="de-AT"/>
        </w:rPr>
        <w:t>Hans Auer</w:t>
      </w:r>
      <w:r w:rsidR="00E45528" w:rsidRPr="00EF0B55">
        <w:rPr>
          <w:rStyle w:val="Funotenzeichen"/>
        </w:rPr>
        <w:footnoteReference w:id="1"/>
      </w:r>
      <w:r w:rsidR="005206AC" w:rsidRPr="0023321E">
        <w:rPr>
          <w:lang w:val="de-AT"/>
        </w:rPr>
        <w:t>*</w:t>
      </w:r>
      <w:r w:rsidR="00C75E8F" w:rsidRPr="005206AC">
        <w:rPr>
          <w:rStyle w:val="Funotenzeichen"/>
          <w:color w:val="FFFFFF" w:themeColor="background1"/>
          <w:lang w:val="de-AT"/>
        </w:rPr>
        <w:footnoteReference w:id="2"/>
      </w:r>
      <w:bookmarkStart w:id="0" w:name="_GoBack"/>
      <w:bookmarkEnd w:id="0"/>
    </w:p>
    <w:p w14:paraId="7F16957E" w14:textId="094AD6A6" w:rsidR="00725939" w:rsidRPr="00F33663" w:rsidRDefault="000652F6" w:rsidP="00725939">
      <w:pPr>
        <w:pStyle w:val="berschrift1"/>
        <w:rPr>
          <w:lang w:val="en-US"/>
        </w:rPr>
      </w:pPr>
      <w:r w:rsidRPr="00F33663">
        <w:rPr>
          <w:lang w:val="en-US"/>
        </w:rPr>
        <w:t>Motivation</w:t>
      </w:r>
      <w:r w:rsidR="001E592C" w:rsidRPr="00F33663">
        <w:rPr>
          <w:lang w:val="en-US"/>
        </w:rPr>
        <w:t xml:space="preserve"> </w:t>
      </w:r>
      <w:r w:rsidR="00654EC4" w:rsidRPr="00F33663">
        <w:rPr>
          <w:lang w:val="en-US"/>
        </w:rPr>
        <w:t xml:space="preserve">and core objective </w:t>
      </w:r>
    </w:p>
    <w:p w14:paraId="41435F12" w14:textId="31C3A322" w:rsidR="00750ADE" w:rsidRDefault="00750ADE" w:rsidP="00C04CB9">
      <w:pPr>
        <w:rPr>
          <w:lang w:val="en-US"/>
        </w:rPr>
      </w:pPr>
      <w:r w:rsidRPr="00750ADE">
        <w:rPr>
          <w:lang w:val="en-US"/>
        </w:rPr>
        <w:t xml:space="preserve">The recently published „Fit for 55“ package by the European Commission [1] pledges a clean, sustainable, and just energy future for all European citizens. Thus, achieving the ambitious goal </w:t>
      </w:r>
      <w:r w:rsidR="00DA77D8" w:rsidRPr="00DA77D8">
        <w:rPr>
          <w:lang w:val="en-US"/>
        </w:rPr>
        <w:t xml:space="preserve">enshrined therein of </w:t>
      </w:r>
      <w:r w:rsidRPr="00750ADE">
        <w:rPr>
          <w:lang w:val="en-US"/>
        </w:rPr>
        <w:t xml:space="preserve">a 55% reduction in greenhouse gas emissions compared to 1990 in 2030 goes along with tackling the “hot potatoes” of </w:t>
      </w:r>
      <w:r w:rsidR="0054294B">
        <w:rPr>
          <w:lang w:val="en-US"/>
        </w:rPr>
        <w:t xml:space="preserve">deep decarbonizing the </w:t>
      </w:r>
      <w:r w:rsidR="004D51C5">
        <w:rPr>
          <w:lang w:val="en-US"/>
        </w:rPr>
        <w:t xml:space="preserve">energy </w:t>
      </w:r>
      <w:r w:rsidR="0054294B">
        <w:rPr>
          <w:lang w:val="en-US"/>
        </w:rPr>
        <w:t>system</w:t>
      </w:r>
      <w:r w:rsidR="00A85EB3">
        <w:rPr>
          <w:lang w:val="en-US"/>
        </w:rPr>
        <w:t xml:space="preserve">. </w:t>
      </w:r>
    </w:p>
    <w:p w14:paraId="2AE484C5" w14:textId="3BE32649" w:rsidR="00F15F46" w:rsidRPr="00372268" w:rsidRDefault="00941080" w:rsidP="00F15F46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D7A697F" wp14:editId="5223BBAF">
                <wp:simplePos x="0" y="0"/>
                <wp:positionH relativeFrom="column">
                  <wp:posOffset>1522730</wp:posOffset>
                </wp:positionH>
                <wp:positionV relativeFrom="paragraph">
                  <wp:posOffset>4324985</wp:posOffset>
                </wp:positionV>
                <wp:extent cx="2352675" cy="635"/>
                <wp:effectExtent l="0" t="0" r="9525" b="0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C7156" w14:textId="2597FEF0" w:rsidR="001D27C8" w:rsidRPr="001D27C8" w:rsidRDefault="001D27C8" w:rsidP="001D27C8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4"/>
                                <w:lang w:val="en-US"/>
                              </w:rPr>
                            </w:pPr>
                            <w:r w:rsidRPr="001D27C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1D27C8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1D27C8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1D27C8">
                              <w:rPr>
                                <w:lang w:val="en-US"/>
                              </w:rPr>
                              <w:t xml:space="preserve"> Interrelationships between the </w:t>
                            </w:r>
                            <w:r>
                              <w:rPr>
                                <w:lang w:val="en-US"/>
                              </w:rPr>
                              <w:t xml:space="preserve">governance,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landlord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tenats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A697F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left:0;text-align:left;margin-left:119.9pt;margin-top:340.55pt;width:185.2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" stroked="f">
                <v:textbox style="mso-fit-shape-to-text:t" inset="0,0,0,0">
                  <w:txbxContent>
                    <w:p w14:paraId="0A6C7156" w14:textId="2597FEF0" w:rsidR="001D27C8" w:rsidRPr="001D27C8" w:rsidRDefault="001D27C8" w:rsidP="001D27C8">
                      <w:pPr>
                        <w:pStyle w:val="Beschriftung"/>
                        <w:rPr>
                          <w:noProof/>
                          <w:sz w:val="20"/>
                          <w:szCs w:val="24"/>
                          <w:lang w:val="en-US"/>
                        </w:rPr>
                      </w:pPr>
                      <w:r w:rsidRPr="001D27C8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1D27C8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1D27C8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1D27C8">
                        <w:rPr>
                          <w:lang w:val="en-US"/>
                        </w:rPr>
                        <w:t xml:space="preserve"> Interrelationships between the </w:t>
                      </w:r>
                      <w:r>
                        <w:rPr>
                          <w:lang w:val="en-US"/>
                        </w:rPr>
                        <w:t xml:space="preserve">governance, </w:t>
                      </w:r>
                      <w:proofErr w:type="gramStart"/>
                      <w:r>
                        <w:rPr>
                          <w:lang w:val="en-US"/>
                        </w:rPr>
                        <w:t>landlord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, and </w:t>
                      </w:r>
                      <w:proofErr w:type="spellStart"/>
                      <w:r>
                        <w:rPr>
                          <w:lang w:val="en-US"/>
                        </w:rPr>
                        <w:t>tenats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66944" behindDoc="0" locked="0" layoutInCell="1" allowOverlap="1" wp14:anchorId="6F4342B7" wp14:editId="63265F52">
            <wp:simplePos x="0" y="0"/>
            <wp:positionH relativeFrom="column">
              <wp:posOffset>1522730</wp:posOffset>
            </wp:positionH>
            <wp:positionV relativeFrom="paragraph">
              <wp:posOffset>2565400</wp:posOffset>
            </wp:positionV>
            <wp:extent cx="2352675" cy="1696720"/>
            <wp:effectExtent l="0" t="0" r="9525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F55" w:rsidRPr="00845F55">
        <w:rPr>
          <w:lang w:val="en-US"/>
        </w:rPr>
        <w:t xml:space="preserve">Against this background, the core objective of this work is to investigate one of these hot potatoes, namely, </w:t>
      </w:r>
      <w:r w:rsidR="00D67002">
        <w:rPr>
          <w:lang w:val="en-US"/>
        </w:rPr>
        <w:t xml:space="preserve">the socially balanced decarbonization of the heat supply of rented residential buildings. </w:t>
      </w:r>
      <w:r w:rsidR="00D67002" w:rsidRPr="00845F55">
        <w:rPr>
          <w:lang w:val="en-US"/>
        </w:rPr>
        <w:t xml:space="preserve">In particular, we investigate a cost-optimal </w:t>
      </w:r>
      <w:r w:rsidR="00D67002">
        <w:rPr>
          <w:lang w:val="en-US"/>
        </w:rPr>
        <w:t xml:space="preserve">federal </w:t>
      </w:r>
      <w:r w:rsidR="00694446">
        <w:rPr>
          <w:lang w:val="en-US"/>
        </w:rPr>
        <w:t xml:space="preserve">(governance) </w:t>
      </w:r>
      <w:r w:rsidR="00D67002" w:rsidRPr="00845F55">
        <w:rPr>
          <w:lang w:val="en-US"/>
        </w:rPr>
        <w:t>subsidization strategy to incentivize a sustainable heating system change taking into account a representative ownership structure with a single landlord and multiple tenants within the building.</w:t>
      </w:r>
      <w:r w:rsidR="00D67002" w:rsidRPr="00D67002">
        <w:rPr>
          <w:lang w:val="en-US"/>
        </w:rPr>
        <w:t xml:space="preserve"> </w:t>
      </w:r>
      <w:r w:rsidR="00D67002" w:rsidRPr="00845F55">
        <w:rPr>
          <w:lang w:val="en-US"/>
        </w:rPr>
        <w:t xml:space="preserve">Initially, the multi-apartment building </w:t>
      </w:r>
      <w:proofErr w:type="gramStart"/>
      <w:r w:rsidR="00D67002" w:rsidRPr="00845F55">
        <w:rPr>
          <w:lang w:val="en-US"/>
        </w:rPr>
        <w:t>is heated</w:t>
      </w:r>
      <w:proofErr w:type="gramEnd"/>
      <w:r w:rsidR="00D67002" w:rsidRPr="00845F55">
        <w:rPr>
          <w:lang w:val="en-US"/>
        </w:rPr>
        <w:t xml:space="preserve"> by a gas-based heating system, which is why tenants' energy costs significantly depend on the carbon </w:t>
      </w:r>
      <w:r w:rsidR="004D739B">
        <w:rPr>
          <w:lang w:val="en-US"/>
        </w:rPr>
        <w:t>price</w:t>
      </w:r>
      <w:r w:rsidR="00D67002" w:rsidRPr="00845F55">
        <w:rPr>
          <w:lang w:val="en-US"/>
        </w:rPr>
        <w:t>.</w:t>
      </w:r>
      <w:r w:rsidR="00694446">
        <w:rPr>
          <w:lang w:val="en-US"/>
        </w:rPr>
        <w:t xml:space="preserve"> </w:t>
      </w:r>
      <w:r w:rsidR="009C05F2">
        <w:rPr>
          <w:lang w:val="en-US"/>
        </w:rPr>
        <w:t xml:space="preserve">The </w:t>
      </w:r>
      <w:r w:rsidR="008B0570">
        <w:rPr>
          <w:lang w:val="en-US"/>
        </w:rPr>
        <w:t xml:space="preserve">investment into </w:t>
      </w:r>
      <w:r w:rsidR="00323074">
        <w:rPr>
          <w:lang w:val="en-US"/>
        </w:rPr>
        <w:t>the</w:t>
      </w:r>
      <w:r w:rsidR="008B0570">
        <w:rPr>
          <w:lang w:val="en-US"/>
        </w:rPr>
        <w:t xml:space="preserve"> heat system alternative can only be made by the </w:t>
      </w:r>
      <w:proofErr w:type="gramStart"/>
      <w:r w:rsidR="008B0570">
        <w:rPr>
          <w:lang w:val="en-US"/>
        </w:rPr>
        <w:t>landlord</w:t>
      </w:r>
      <w:proofErr w:type="gramEnd"/>
      <w:r w:rsidR="009C05F2">
        <w:rPr>
          <w:lang w:val="en-US"/>
        </w:rPr>
        <w:t xml:space="preserve">. </w:t>
      </w:r>
      <w:r w:rsidR="00EE1CBE" w:rsidRPr="00EE1CBE">
        <w:rPr>
          <w:lang w:val="en-US"/>
        </w:rPr>
        <w:t xml:space="preserve">Figure 1 illustrates the basic concept of the </w:t>
      </w:r>
      <w:r w:rsidR="004D739B">
        <w:rPr>
          <w:lang w:val="en-US"/>
        </w:rPr>
        <w:t xml:space="preserve">approach in this </w:t>
      </w:r>
      <w:r w:rsidR="00EE1CBE" w:rsidRPr="00EE1CBE">
        <w:rPr>
          <w:lang w:val="en-US"/>
        </w:rPr>
        <w:t xml:space="preserve">paper. </w:t>
      </w:r>
      <w:r w:rsidR="008B0570">
        <w:rPr>
          <w:lang w:val="en-US"/>
        </w:rPr>
        <w:t>The governance</w:t>
      </w:r>
      <w:r w:rsidR="00EE1CBE" w:rsidRPr="00EE1CBE">
        <w:rPr>
          <w:lang w:val="en-US"/>
        </w:rPr>
        <w:t xml:space="preserve"> has the option to provide financial subsidy payment</w:t>
      </w:r>
      <w:r w:rsidR="004D739B">
        <w:rPr>
          <w:lang w:val="en-US"/>
        </w:rPr>
        <w:t xml:space="preserve">s for both agents, the </w:t>
      </w:r>
      <w:proofErr w:type="gramStart"/>
      <w:r w:rsidR="004D739B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 and the tenants</w:t>
      </w:r>
      <w:r w:rsidR="004D739B">
        <w:rPr>
          <w:lang w:val="en-US"/>
        </w:rPr>
        <w:t>.</w:t>
      </w:r>
      <w:r w:rsidR="00EE1CBE" w:rsidRPr="00EE1CBE">
        <w:rPr>
          <w:lang w:val="en-US"/>
        </w:rPr>
        <w:t xml:space="preserve"> </w:t>
      </w:r>
      <w:r w:rsidR="004D739B">
        <w:rPr>
          <w:lang w:val="en-US"/>
        </w:rPr>
        <w:t xml:space="preserve">The </w:t>
      </w:r>
      <w:proofErr w:type="gramStart"/>
      <w:r w:rsidR="004D739B">
        <w:rPr>
          <w:lang w:val="en-US"/>
        </w:rPr>
        <w:t>landlord</w:t>
      </w:r>
      <w:proofErr w:type="gramEnd"/>
      <w:r w:rsidR="004D739B">
        <w:rPr>
          <w:lang w:val="en-US"/>
        </w:rPr>
        <w:t xml:space="preserve"> can be incentivized </w:t>
      </w:r>
      <w:r w:rsidR="00EE1CBE" w:rsidRPr="00EE1CBE">
        <w:rPr>
          <w:lang w:val="en-US"/>
        </w:rPr>
        <w:t xml:space="preserve">by an investment grant or rent charge adjustment </w:t>
      </w:r>
      <w:r w:rsidR="004D739B">
        <w:rPr>
          <w:lang w:val="en-US"/>
        </w:rPr>
        <w:t>whereas the tenants can be by</w:t>
      </w:r>
      <w:r w:rsidR="00EE1CBE" w:rsidRPr="00EE1CBE">
        <w:rPr>
          <w:lang w:val="en-US"/>
        </w:rPr>
        <w:t xml:space="preserve"> a heating costs subsidy payment. Nevertheless, the optimal governance’s financial incentives achieve subsidy parity among the </w:t>
      </w:r>
      <w:proofErr w:type="gramStart"/>
      <w:r w:rsidR="00EE1CBE" w:rsidRPr="00EE1CBE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 and tenants by providing the same net present value of subsidy payments to both. </w:t>
      </w:r>
      <w:r w:rsidR="00372268" w:rsidRPr="00372268">
        <w:rPr>
          <w:lang w:val="en-US"/>
        </w:rPr>
        <w:t>This analysis extends earlier studies and findings in the field of sustainable heat supply alternatives in the residential building sector (i.e., low-temperature heat service needs). In particular, we refer here to a recently published paper investigating the decommissioning of the gas distribution grid in an urban neighborhood</w:t>
      </w:r>
      <w:r w:rsidR="008D460E" w:rsidRPr="00372268">
        <w:rPr>
          <w:lang w:val="en-US"/>
        </w:rPr>
        <w:t xml:space="preserve"> [2]</w:t>
      </w:r>
      <w:r w:rsidR="00372268" w:rsidRPr="00372268">
        <w:rPr>
          <w:lang w:val="en-US"/>
        </w:rPr>
        <w:t>.</w:t>
      </w:r>
      <w:r w:rsidR="00372268">
        <w:rPr>
          <w:lang w:val="en-US"/>
        </w:rPr>
        <w:t xml:space="preserve">  </w:t>
      </w:r>
    </w:p>
    <w:p w14:paraId="5D980FFF" w14:textId="6B686767" w:rsidR="001E592C" w:rsidRPr="00FA20B7" w:rsidRDefault="006E63DF" w:rsidP="009B72EA">
      <w:pPr>
        <w:pStyle w:val="berschrift1"/>
        <w:rPr>
          <w:lang w:val="en-US"/>
        </w:rPr>
      </w:pPr>
      <w:r w:rsidRPr="00FA20B7">
        <w:rPr>
          <w:lang w:val="en-US"/>
        </w:rPr>
        <w:t>Methodology and case study</w:t>
      </w:r>
    </w:p>
    <w:p w14:paraId="425F88D9" w14:textId="68D78315" w:rsidR="000976D1" w:rsidRPr="00FA20B7" w:rsidRDefault="003543B3" w:rsidP="003543B3">
      <w:pPr>
        <w:rPr>
          <w:lang w:val="en-US"/>
        </w:rPr>
      </w:pPr>
      <w:r w:rsidRPr="00FA20B7">
        <w:rPr>
          <w:lang w:val="en-US"/>
        </w:rPr>
        <w:t xml:space="preserve">To determine the </w:t>
      </w:r>
      <w:r w:rsidR="00C762C8" w:rsidRPr="00FA20B7">
        <w:rPr>
          <w:lang w:val="en-US"/>
        </w:rPr>
        <w:t xml:space="preserve">cost-optimal and </w:t>
      </w:r>
      <w:r w:rsidR="00224F4E" w:rsidRPr="00FA20B7">
        <w:rPr>
          <w:lang w:val="en-US"/>
        </w:rPr>
        <w:t>socially balanced</w:t>
      </w:r>
      <w:r w:rsidR="00C762C8" w:rsidRPr="00FA20B7">
        <w:rPr>
          <w:lang w:val="en-US"/>
        </w:rPr>
        <w:t xml:space="preserve"> subsidization strategy, we propose a linear optimization model. Thereby, t</w:t>
      </w:r>
      <w:r w:rsidR="000A5F96" w:rsidRPr="00FA20B7">
        <w:rPr>
          <w:lang w:val="en-US"/>
        </w:rPr>
        <w:t>he model’s</w:t>
      </w:r>
      <w:r w:rsidR="00A26641" w:rsidRPr="00FA20B7">
        <w:rPr>
          <w:lang w:val="en-US"/>
        </w:rPr>
        <w:t xml:space="preserve"> objective function is to </w:t>
      </w:r>
      <w:r w:rsidR="000A5F96" w:rsidRPr="00FA20B7">
        <w:rPr>
          <w:lang w:val="en-US"/>
        </w:rPr>
        <w:t>minimizing</w:t>
      </w:r>
      <w:r w:rsidR="00A26641" w:rsidRPr="00FA20B7">
        <w:rPr>
          <w:lang w:val="en-US"/>
        </w:rPr>
        <w:t xml:space="preserve"> the governance’s </w:t>
      </w:r>
      <w:r w:rsidR="008B22B9" w:rsidRPr="00FA20B7">
        <w:rPr>
          <w:lang w:val="en-US"/>
        </w:rPr>
        <w:t>net present value as</w:t>
      </w:r>
      <w:r w:rsidR="00C762C8" w:rsidRPr="00FA20B7">
        <w:rPr>
          <w:lang w:val="en-US"/>
        </w:rPr>
        <w:t xml:space="preserve"> follows</w:t>
      </w:r>
      <w:r w:rsidR="008B22B9" w:rsidRPr="00FA20B7">
        <w:rPr>
          <w:lang w:val="en-US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530"/>
      </w:tblGrid>
      <w:tr w:rsidR="00FA20B7" w:rsidRPr="00FA20B7" w14:paraId="14E22549" w14:textId="77777777" w:rsidTr="008D7574">
        <w:tc>
          <w:tcPr>
            <w:tcW w:w="8755" w:type="dxa"/>
            <w:vAlign w:val="center"/>
          </w:tcPr>
          <w:p w14:paraId="05FC22B4" w14:textId="63D74F3F" w:rsidR="008D7574" w:rsidRPr="00FA20B7" w:rsidRDefault="00616D49" w:rsidP="00E87B54">
            <w:pPr>
              <w:jc w:val="center"/>
              <w:rPr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lim>
                    </m:limLow>
                  </m:fName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limLowPr>
                          <m:e>
                            <m:groupChr>
                              <m:groupChr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groupChr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Ψ</m:t>
                                </m:r>
                              </m:e>
                            </m:groupChr>
                          </m:e>
                          <m:li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landlord</m:t>
                            </m:r>
                          </m:lim>
                        </m:limLow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groupCh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y,m</m:t>
                                            </m:r>
                                          </m:sub>
                                        </m:sSub>
                                      </m:e>
                                    </m:groupCh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tenant</m:t>
                                    </m:r>
                                  </m:lim>
                                </m:limLow>
                              </m:e>
                            </m:nary>
                          </m:e>
                        </m:nary>
                      </m:e>
                      <m:lim/>
                    </m:limLow>
                  </m:e>
                </m:func>
              </m:oMath>
            </m:oMathPara>
          </w:p>
        </w:tc>
        <w:tc>
          <w:tcPr>
            <w:tcW w:w="533" w:type="dxa"/>
            <w:vAlign w:val="center"/>
          </w:tcPr>
          <w:p w14:paraId="34CC18DA" w14:textId="6C20D569" w:rsidR="008D7574" w:rsidRPr="00FA20B7" w:rsidRDefault="008D7574" w:rsidP="008D7574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(1)</w:t>
            </w:r>
          </w:p>
        </w:tc>
      </w:tr>
    </w:tbl>
    <w:p w14:paraId="2558C142" w14:textId="0A6E1C64" w:rsidR="008D7574" w:rsidRPr="00610DAA" w:rsidRDefault="00A02F2E" w:rsidP="003543B3">
      <w:pPr>
        <w:rPr>
          <w:lang w:val="en-US"/>
        </w:rPr>
      </w:pPr>
      <w:proofErr w:type="gramStart"/>
      <w:r w:rsidRPr="00C74B50">
        <w:rPr>
          <w:lang w:val="en-US"/>
        </w:rPr>
        <w:lastRenderedPageBreak/>
        <w:t>where</w:t>
      </w:r>
      <w:proofErr w:type="gramEnd"/>
      <w:r w:rsidRPr="00C74B5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Ψ</m:t>
        </m:r>
      </m:oMath>
      <w:r w:rsidR="00E87B54" w:rsidRPr="00C74B50">
        <w:rPr>
          <w:lang w:val="en-US"/>
        </w:rPr>
        <w:t xml:space="preserve"> is the landlord’s overnight investment grant and </w:t>
      </w:r>
      <m:oMath>
        <m:r>
          <w:rPr>
            <w:rFonts w:ascii="Cambria Math" w:hAnsi="Cambria Math"/>
            <w:lang w:val="en-US"/>
          </w:rPr>
          <m:t>Ω</m:t>
        </m:r>
      </m:oMath>
      <w:r w:rsidR="00E87B54" w:rsidRPr="00C74B50">
        <w:rPr>
          <w:lang w:val="en-US"/>
        </w:rPr>
        <w:t xml:space="preserve"> the tenant’s subsidy payment in year </w:t>
      </w:r>
      <m:oMath>
        <m:r>
          <w:rPr>
            <w:rFonts w:ascii="Cambria Math" w:hAnsi="Cambria Math"/>
            <w:lang w:val="en-US"/>
          </w:rPr>
          <m:t>y</m:t>
        </m:r>
      </m:oMath>
      <w:r w:rsidR="00E87B54" w:rsidRPr="00C74B50">
        <w:rPr>
          <w:lang w:val="en-US"/>
        </w:rPr>
        <w:t xml:space="preserve"> and month </w:t>
      </w:r>
      <m:oMath>
        <m:r>
          <w:rPr>
            <w:rFonts w:ascii="Cambria Math" w:hAnsi="Cambria Math"/>
            <w:lang w:val="en-US"/>
          </w:rPr>
          <m:t>m</m:t>
        </m:r>
      </m:oMath>
      <w:r w:rsidR="00E87B54" w:rsidRPr="00C74B50">
        <w:rPr>
          <w:lang w:val="en-US"/>
        </w:rPr>
        <w:t>.</w:t>
      </w:r>
      <w:r w:rsidR="009C05F2">
        <w:rPr>
          <w:lang w:val="en-US"/>
        </w:rPr>
        <w:t xml:space="preserve"> </w:t>
      </w:r>
      <w:r w:rsidR="00AF1CD3">
        <w:rPr>
          <w:lang w:val="en-US"/>
        </w:rPr>
        <w:t xml:space="preserve">An important model </w:t>
      </w:r>
      <w:r w:rsidR="009C05F2">
        <w:rPr>
          <w:lang w:val="en-US"/>
        </w:rPr>
        <w:t xml:space="preserve">constraint </w:t>
      </w:r>
      <w:r w:rsidR="00AF1CD3">
        <w:rPr>
          <w:lang w:val="en-US"/>
        </w:rPr>
        <w:t>considers the</w:t>
      </w:r>
      <w:r w:rsidR="009C05F2">
        <w:rPr>
          <w:lang w:val="en-US"/>
        </w:rPr>
        <w:t xml:space="preserve"> </w:t>
      </w:r>
      <w:proofErr w:type="gramStart"/>
      <w:r w:rsidR="00AF1CD3">
        <w:rPr>
          <w:lang w:val="en-US"/>
        </w:rPr>
        <w:t>landlord’s</w:t>
      </w:r>
      <w:proofErr w:type="gramEnd"/>
      <w:r w:rsidR="00AF1CD3">
        <w:rPr>
          <w:lang w:val="en-US"/>
        </w:rPr>
        <w:t xml:space="preserve"> </w:t>
      </w:r>
      <w:r w:rsidR="009C05F2">
        <w:rPr>
          <w:lang w:val="en-US"/>
        </w:rPr>
        <w:t xml:space="preserve">economic viability </w:t>
      </w:r>
      <w:r w:rsidR="00AF1CD3">
        <w:rPr>
          <w:lang w:val="en-US"/>
        </w:rPr>
        <w:t xml:space="preserve">of the investment and sets it net present value at the planning horizon end equal to zero. </w:t>
      </w:r>
      <w:r w:rsidR="00AF1CD3" w:rsidRPr="00AF1CD3">
        <w:rPr>
          <w:lang w:val="en-US"/>
        </w:rPr>
        <w:t>Besides</w:t>
      </w:r>
      <w:r w:rsidR="008B0570">
        <w:rPr>
          <w:lang w:val="en-US"/>
        </w:rPr>
        <w:t xml:space="preserve"> this</w:t>
      </w:r>
      <w:r w:rsidR="00AF1CD3" w:rsidRPr="00AF1CD3">
        <w:rPr>
          <w:lang w:val="en-US"/>
        </w:rPr>
        <w:t xml:space="preserve">, the model includes monetary parity </w:t>
      </w:r>
      <w:r w:rsidR="00AF1CD3">
        <w:rPr>
          <w:lang w:val="en-US"/>
        </w:rPr>
        <w:t xml:space="preserve">(energy and rent-related spending) </w:t>
      </w:r>
      <w:r w:rsidR="00AF1CD3" w:rsidRPr="00AF1CD3">
        <w:rPr>
          <w:lang w:val="en-US"/>
        </w:rPr>
        <w:t xml:space="preserve">for each tenant as the net present value </w:t>
      </w:r>
      <w:r w:rsidR="00AF1CD3">
        <w:rPr>
          <w:lang w:val="en-US"/>
        </w:rPr>
        <w:t xml:space="preserve">of the sustainable heat system alternative </w:t>
      </w:r>
      <w:proofErr w:type="gramStart"/>
      <w:r w:rsidR="00AF1CD3">
        <w:rPr>
          <w:lang w:val="en-US"/>
        </w:rPr>
        <w:t>is forced</w:t>
      </w:r>
      <w:proofErr w:type="gramEnd"/>
      <w:r w:rsidR="00AF1CD3">
        <w:rPr>
          <w:lang w:val="en-US"/>
        </w:rPr>
        <w:t xml:space="preserve"> to be equal to the initial condition (i.e., gas-based heat supply and initial rent price). Equation (2) </w:t>
      </w:r>
      <w:r w:rsidR="00610DAA">
        <w:rPr>
          <w:lang w:val="en-US"/>
        </w:rPr>
        <w:t xml:space="preserve">shows </w:t>
      </w:r>
      <w:r w:rsidR="008B0570">
        <w:rPr>
          <w:lang w:val="en-US"/>
        </w:rPr>
        <w:t xml:space="preserve">the </w:t>
      </w:r>
      <w:r w:rsidR="00610DAA">
        <w:rPr>
          <w:lang w:val="en-US"/>
        </w:rPr>
        <w:t xml:space="preserve">net present value of the monetary support between the </w:t>
      </w:r>
      <w:proofErr w:type="gramStart"/>
      <w:r w:rsidR="00610DAA">
        <w:rPr>
          <w:lang w:val="en-US"/>
        </w:rPr>
        <w:t>landlord</w:t>
      </w:r>
      <w:proofErr w:type="gramEnd"/>
      <w:r w:rsidR="00610DAA">
        <w:rPr>
          <w:lang w:val="en-US"/>
        </w:rPr>
        <w:t xml:space="preserve"> and all tenants, where </w:t>
      </w:r>
      <m:oMath>
        <m:r>
          <w:rPr>
            <w:rFonts w:ascii="Cambria Math" w:hAnsi="Cambria Math"/>
            <w:lang w:val="en-US"/>
          </w:rPr>
          <m:t>n</m:t>
        </m:r>
      </m:oMath>
      <w:r w:rsidR="00610DAA">
        <w:rPr>
          <w:lang w:val="en-US"/>
        </w:rPr>
        <w:t xml:space="preserve"> is the number of tenants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y,m</m:t>
            </m:r>
          </m:sub>
        </m:sSub>
      </m:oMath>
      <w:r w:rsidR="00610DAA">
        <w:rPr>
          <w:lang w:val="en-US"/>
        </w:rPr>
        <w:t xml:space="preserve"> the additional rent-related revenues of the landlord. Latter result from the provision of a sustainable heating system alternative.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531"/>
      </w:tblGrid>
      <w:tr w:rsidR="00AF1CD3" w:rsidRPr="00FA20B7" w14:paraId="05096B99" w14:textId="77777777" w:rsidTr="00C94D1A">
        <w:tc>
          <w:tcPr>
            <w:tcW w:w="8755" w:type="dxa"/>
            <w:vAlign w:val="center"/>
          </w:tcPr>
          <w:p w14:paraId="4145993E" w14:textId="4479B336" w:rsidR="00AF1CD3" w:rsidRPr="00FA20B7" w:rsidRDefault="00616D49" w:rsidP="007751A0">
            <w:pPr>
              <w:jc w:val="center"/>
              <w:rPr>
                <w:lang w:val="en-US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Ψ+n*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landlor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 monetary support</m:t>
                    </m:r>
                  </m:lim>
                </m:limLow>
                <m:r>
                  <w:rPr>
                    <w:rFonts w:ascii="Cambria Math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tenant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monetary support</m:t>
                    </m:r>
                  </m:lim>
                </m:limLow>
              </m:oMath>
            </m:oMathPara>
          </w:p>
        </w:tc>
        <w:tc>
          <w:tcPr>
            <w:tcW w:w="533" w:type="dxa"/>
            <w:vAlign w:val="center"/>
          </w:tcPr>
          <w:p w14:paraId="2614BFA9" w14:textId="7E16D372" w:rsidR="00AF1CD3" w:rsidRPr="00FA20B7" w:rsidRDefault="00AF1CD3" w:rsidP="00AF1CD3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FA20B7">
              <w:rPr>
                <w:lang w:val="en-US"/>
              </w:rPr>
              <w:t>)</w:t>
            </w:r>
          </w:p>
        </w:tc>
      </w:tr>
    </w:tbl>
    <w:p w14:paraId="179040C0" w14:textId="71C12392" w:rsidR="006524B9" w:rsidRPr="00466DDA" w:rsidRDefault="006524B9" w:rsidP="00DB4127">
      <w:pPr>
        <w:pStyle w:val="berschrift1"/>
        <w:rPr>
          <w:rFonts w:cs="Times New Roman"/>
          <w:b w:val="0"/>
          <w:bCs w:val="0"/>
          <w:kern w:val="0"/>
          <w:sz w:val="20"/>
          <w:szCs w:val="24"/>
          <w:lang w:val="en-US"/>
        </w:rPr>
      </w:pP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T</w:t>
      </w:r>
      <w:r w:rsidRPr="006524B9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he </w:t>
      </w: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proposed model 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is applied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to a representative multi-apartment building in an urban area in Vienna, Austria. Furthermore, it is assumed that the building has a single owner (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landlord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) and 30 tenants.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We investigate different scenarios with </w:t>
      </w:r>
      <w:r w:rsidR="008B0570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a 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>special focus on the CO</w:t>
      </w:r>
      <w:r w:rsidR="00466DDA" w:rsidRPr="00466DDA">
        <w:rPr>
          <w:rFonts w:cs="Times New Roman"/>
          <w:b w:val="0"/>
          <w:bCs w:val="0"/>
          <w:kern w:val="0"/>
          <w:sz w:val="20"/>
          <w:szCs w:val="24"/>
          <w:vertAlign w:val="subscript"/>
          <w:lang w:val="en-US"/>
        </w:rPr>
        <w:t>2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price and specific emissions of the electricity and district heating energy mix. </w:t>
      </w:r>
    </w:p>
    <w:p w14:paraId="52B7A963" w14:textId="1D13B194" w:rsidR="000976D1" w:rsidRPr="00DB4127" w:rsidRDefault="00DB4127" w:rsidP="00DB4127">
      <w:pPr>
        <w:pStyle w:val="berschrift1"/>
        <w:rPr>
          <w:lang w:val="en-US"/>
        </w:rPr>
      </w:pPr>
      <w:r w:rsidRPr="00DB4127">
        <w:rPr>
          <w:lang w:val="en-US"/>
        </w:rPr>
        <w:t>Results and conclusions</w:t>
      </w:r>
    </w:p>
    <w:p w14:paraId="7827EEDA" w14:textId="1D6245D1" w:rsidR="00494FD3" w:rsidRPr="00A235D2" w:rsidRDefault="00C9254A" w:rsidP="00C9254A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79C780" wp14:editId="52683D01">
                <wp:simplePos x="0" y="0"/>
                <wp:positionH relativeFrom="column">
                  <wp:posOffset>36195</wp:posOffset>
                </wp:positionH>
                <wp:positionV relativeFrom="paragraph">
                  <wp:posOffset>3846195</wp:posOffset>
                </wp:positionV>
                <wp:extent cx="2941320" cy="635"/>
                <wp:effectExtent l="0" t="0" r="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6518E" w14:textId="25816C5D" w:rsidR="00621634" w:rsidRPr="000B051A" w:rsidRDefault="00621634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0B051A">
                              <w:rPr>
                                <w:lang w:val="en-US"/>
                              </w:rPr>
                              <w:t xml:space="preserve">Figure </w:t>
                            </w:r>
                            <w:proofErr w:type="gramStart"/>
                            <w:r w:rsidR="001E2DF6" w:rsidRPr="000B051A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0B051A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B051A" w:rsidRPr="000B051A">
                              <w:rPr>
                                <w:lang w:val="en-US"/>
                              </w:rPr>
                              <w:t xml:space="preserve">Development of the landlord’s and tenant’s economic viability with the district heating option. </w:t>
                            </w:r>
                            <w:r w:rsidR="000B051A">
                              <w:rPr>
                                <w:lang w:val="en-US"/>
                              </w:rPr>
                              <w:t xml:space="preserve">Top left: </w:t>
                            </w:r>
                            <w:proofErr w:type="gramStart"/>
                            <w:r w:rsidR="000B051A">
                              <w:rPr>
                                <w:lang w:val="en-US"/>
                              </w:rPr>
                              <w:t>landlord’s</w:t>
                            </w:r>
                            <w:proofErr w:type="gramEnd"/>
                            <w:r w:rsidR="000B051A">
                              <w:rPr>
                                <w:lang w:val="en-US"/>
                              </w:rPr>
                              <w:t xml:space="preserve"> revenues, bottom left: landlord’s net present value, top right: tenant’s revenues, bottom right: tenant’s net present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79C780" id="Textfeld 7" o:spid="_x0000_s1027" type="#_x0000_t202" style="position:absolute;left:0;text-align:left;margin-left:2.85pt;margin-top:302.85pt;width:231.6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" stroked="f">
                <v:textbox style="mso-fit-shape-to-text:t" inset="0,0,0,0">
                  <w:txbxContent>
                    <w:p w14:paraId="03C6518E" w14:textId="25816C5D" w:rsidR="00621634" w:rsidRPr="000B051A" w:rsidRDefault="00621634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0B051A">
                        <w:rPr>
                          <w:lang w:val="en-US"/>
                        </w:rPr>
                        <w:t xml:space="preserve">Figure </w:t>
                      </w:r>
                      <w:r w:rsidR="001E2DF6" w:rsidRPr="000B051A">
                        <w:rPr>
                          <w:lang w:val="en-US"/>
                        </w:rPr>
                        <w:t>2</w:t>
                      </w:r>
                      <w:r w:rsidRPr="000B051A">
                        <w:rPr>
                          <w:lang w:val="en-US"/>
                        </w:rPr>
                        <w:t xml:space="preserve"> </w:t>
                      </w:r>
                      <w:r w:rsidR="000B051A" w:rsidRPr="000B051A">
                        <w:rPr>
                          <w:lang w:val="en-US"/>
                        </w:rPr>
                        <w:t xml:space="preserve">Development of the landlord’s and tenant’s economic viability with the district heating option. </w:t>
                      </w:r>
                      <w:r w:rsidR="000B051A">
                        <w:rPr>
                          <w:lang w:val="en-US"/>
                        </w:rPr>
                        <w:t>Top left: landlord’s revenues, bottom left: landlord’s net present value, top right: tenant’s revenues, bottom right: tenant’s net present value.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AE4A9F" wp14:editId="529C9F19">
                <wp:simplePos x="0" y="0"/>
                <wp:positionH relativeFrom="column">
                  <wp:posOffset>3355975</wp:posOffset>
                </wp:positionH>
                <wp:positionV relativeFrom="paragraph">
                  <wp:posOffset>3872018</wp:posOffset>
                </wp:positionV>
                <wp:extent cx="237871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6AC0E" w14:textId="7BDDEA45" w:rsidR="001E2DF6" w:rsidRPr="001E2DF6" w:rsidRDefault="001E2DF6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smallCap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1E2DF6">
                              <w:rPr>
                                <w:lang w:val="en-US"/>
                              </w:rPr>
                              <w:t xml:space="preserve">Figure 3 Comparison of the objective value for varying </w:t>
                            </w:r>
                            <w:r>
                              <w:rPr>
                                <w:lang w:val="en-US"/>
                              </w:rPr>
                              <w:t xml:space="preserve">allocation of opportunity costs </w:t>
                            </w:r>
                            <w:r w:rsidR="000B051A">
                              <w:rPr>
                                <w:lang w:val="en-US"/>
                              </w:rPr>
                              <w:t>among t</w:t>
                            </w:r>
                            <w:r w:rsidR="00C9254A">
                              <w:rPr>
                                <w:lang w:val="en-US"/>
                              </w:rPr>
                              <w:t>he tenant, landlord, and governance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 (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A: governance, landlord, and tenant, 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B: landlord and tenants, 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C: landlord, </w:t>
                            </w:r>
                            <w:r w:rsidR="00627163">
                              <w:rPr>
                                <w:lang w:val="en-US"/>
                              </w:rPr>
                              <w:br/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>D: tenants and governance)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E4A9F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8" type="#_x0000_t202" style="position:absolute;left:0;text-align:left;margin-left:264.25pt;margin-top:304.9pt;width:187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" stroked="f">
                <v:textbox style="mso-fit-shape-to-text:t" inset="0,0,0,0">
                  <w:txbxContent>
                    <w:p w14:paraId="0D66AC0E" w14:textId="7BDDEA45" w:rsidR="001E2DF6" w:rsidRPr="001E2DF6" w:rsidRDefault="001E2DF6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smallCap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1E2DF6">
                        <w:rPr>
                          <w:lang w:val="en-US"/>
                        </w:rPr>
                        <w:t xml:space="preserve">Figure 3 Comparison of the objective value for varying </w:t>
                      </w:r>
                      <w:r>
                        <w:rPr>
                          <w:lang w:val="en-US"/>
                        </w:rPr>
                        <w:t xml:space="preserve">allocation of opportunity costs </w:t>
                      </w:r>
                      <w:r w:rsidR="000B051A">
                        <w:rPr>
                          <w:lang w:val="en-US"/>
                        </w:rPr>
                        <w:t>among t</w:t>
                      </w:r>
                      <w:r w:rsidR="00C9254A">
                        <w:rPr>
                          <w:lang w:val="en-US"/>
                        </w:rPr>
                        <w:t>he tenant, landlord, and governance</w:t>
                      </w:r>
                      <w:r w:rsidR="008D3017">
                        <w:rPr>
                          <w:lang w:val="en-US"/>
                        </w:rPr>
                        <w:t xml:space="preserve"> (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A: governance, landlord, and tenant, 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B: landlord and tenants, 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C: landlord, </w:t>
                      </w:r>
                      <w:r w:rsidR="00627163">
                        <w:rPr>
                          <w:lang w:val="en-US"/>
                        </w:rPr>
                        <w:br/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>D: tenants and governance)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0560" behindDoc="0" locked="0" layoutInCell="1" allowOverlap="1" wp14:anchorId="07BD9B22" wp14:editId="767EFC19">
            <wp:simplePos x="0" y="0"/>
            <wp:positionH relativeFrom="column">
              <wp:posOffset>50165</wp:posOffset>
            </wp:positionH>
            <wp:positionV relativeFrom="paragraph">
              <wp:posOffset>1624965</wp:posOffset>
            </wp:positionV>
            <wp:extent cx="2941320" cy="2159635"/>
            <wp:effectExtent l="19050" t="19050" r="11430" b="1206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4656" behindDoc="0" locked="0" layoutInCell="1" allowOverlap="1" wp14:anchorId="315160A2" wp14:editId="1A962481">
            <wp:simplePos x="0" y="0"/>
            <wp:positionH relativeFrom="column">
              <wp:posOffset>3361055</wp:posOffset>
            </wp:positionH>
            <wp:positionV relativeFrom="paragraph">
              <wp:posOffset>1616922</wp:posOffset>
            </wp:positionV>
            <wp:extent cx="2378710" cy="2159635"/>
            <wp:effectExtent l="19050" t="19050" r="21590" b="1206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62" w:rsidRPr="001D27C8">
        <w:rPr>
          <w:lang w:val="en-US"/>
        </w:rPr>
        <w:t xml:space="preserve">Below, preliminary results </w:t>
      </w:r>
      <w:proofErr w:type="gramStart"/>
      <w:r w:rsidR="008B1F2B" w:rsidRPr="001D27C8">
        <w:rPr>
          <w:lang w:val="en-US"/>
        </w:rPr>
        <w:t>are presented</w:t>
      </w:r>
      <w:proofErr w:type="gramEnd"/>
      <w:r w:rsidR="008B1F2B" w:rsidRPr="001D27C8">
        <w:rPr>
          <w:lang w:val="en-US"/>
        </w:rPr>
        <w:t xml:space="preserve">. Figure 2 shows the </w:t>
      </w:r>
      <w:r w:rsidR="003A15F3">
        <w:rPr>
          <w:lang w:val="en-US"/>
        </w:rPr>
        <w:t xml:space="preserve">landlord’s </w:t>
      </w:r>
      <w:r w:rsidR="008B1F2B" w:rsidRPr="001D27C8">
        <w:rPr>
          <w:lang w:val="en-US"/>
        </w:rPr>
        <w:t xml:space="preserve">revenues and net present value </w:t>
      </w:r>
      <w:r w:rsidR="001D27C8" w:rsidRPr="001D27C8">
        <w:rPr>
          <w:lang w:val="en-US"/>
        </w:rPr>
        <w:t xml:space="preserve">(NPV) </w:t>
      </w:r>
      <w:r w:rsidR="008B1F2B" w:rsidRPr="001D27C8">
        <w:rPr>
          <w:lang w:val="en-US"/>
        </w:rPr>
        <w:t>and a single tenant (right</w:t>
      </w:r>
      <w:r w:rsidR="008B0570">
        <w:rPr>
          <w:lang w:val="en-US"/>
        </w:rPr>
        <w:t xml:space="preserve"> subfigures</w:t>
      </w:r>
      <w:r w:rsidR="008B1F2B" w:rsidRPr="001D27C8">
        <w:rPr>
          <w:lang w:val="en-US"/>
        </w:rPr>
        <w:t>) connecting to the district heating network in a scenario align</w:t>
      </w:r>
      <w:r w:rsidR="007751A0">
        <w:rPr>
          <w:lang w:val="en-US"/>
        </w:rPr>
        <w:t>ed</w:t>
      </w:r>
      <w:r w:rsidR="008B1F2B" w:rsidRPr="001D27C8">
        <w:rPr>
          <w:lang w:val="en-US"/>
        </w:rPr>
        <w:t xml:space="preserve"> with limiting the global temperature below 1.5°C. The landlord </w:t>
      </w:r>
      <w:r w:rsidR="001D27C8" w:rsidRPr="001D27C8">
        <w:rPr>
          <w:lang w:val="en-US"/>
        </w:rPr>
        <w:t>(</w:t>
      </w:r>
      <w:proofErr w:type="spellStart"/>
      <w:r w:rsidR="001D27C8" w:rsidRPr="001D27C8">
        <w:rPr>
          <w:lang w:val="en-US"/>
        </w:rPr>
        <w:t>i</w:t>
      </w:r>
      <w:proofErr w:type="spellEnd"/>
      <w:r w:rsidR="001D27C8" w:rsidRPr="001D27C8">
        <w:rPr>
          <w:lang w:val="en-US"/>
        </w:rPr>
        <w:t xml:space="preserve">) </w:t>
      </w:r>
      <w:r w:rsidR="008B1F2B" w:rsidRPr="001D27C8">
        <w:rPr>
          <w:lang w:val="en-US"/>
        </w:rPr>
        <w:t>receives an investment grant and rent-related revenues (t</w:t>
      </w:r>
      <w:r w:rsidR="008B0570">
        <w:rPr>
          <w:lang w:val="en-US"/>
        </w:rPr>
        <w:t>op left</w:t>
      </w:r>
      <w:r w:rsidR="008B1F2B" w:rsidRPr="001D27C8">
        <w:rPr>
          <w:lang w:val="en-US"/>
        </w:rPr>
        <w:t>)</w:t>
      </w:r>
      <w:r w:rsidR="001D27C8" w:rsidRPr="001D27C8">
        <w:rPr>
          <w:lang w:val="en-US"/>
        </w:rPr>
        <w:t xml:space="preserve"> and (ii) achieves a net present value equal to zero in 2040</w:t>
      </w:r>
      <w:r w:rsidR="003A15F3">
        <w:rPr>
          <w:lang w:val="en-US"/>
        </w:rPr>
        <w:t xml:space="preserve"> (bottom left)</w:t>
      </w:r>
      <w:r w:rsidR="001D27C8" w:rsidRPr="001D27C8">
        <w:rPr>
          <w:lang w:val="en-US"/>
        </w:rPr>
        <w:t xml:space="preserve">. The tenant </w:t>
      </w:r>
      <w:r w:rsidR="008B0570">
        <w:rPr>
          <w:lang w:val="en-US"/>
        </w:rPr>
        <w:t>receives</w:t>
      </w:r>
      <w:r w:rsidR="001D27C8" w:rsidRPr="001D27C8">
        <w:rPr>
          <w:lang w:val="en-US"/>
        </w:rPr>
        <w:t xml:space="preserve"> a subsidy payment between 2025 and 2029 (t</w:t>
      </w:r>
      <w:r w:rsidR="008B0570">
        <w:rPr>
          <w:lang w:val="en-US"/>
        </w:rPr>
        <w:t>op right</w:t>
      </w:r>
      <w:r w:rsidR="001D27C8" w:rsidRPr="001D27C8">
        <w:rPr>
          <w:lang w:val="en-US"/>
        </w:rPr>
        <w:t>) obtaining the same NPV as in the initial condition (b</w:t>
      </w:r>
      <w:r w:rsidR="008B0570">
        <w:rPr>
          <w:lang w:val="en-US"/>
        </w:rPr>
        <w:t>ottom right</w:t>
      </w:r>
      <w:r w:rsidR="001D27C8" w:rsidRPr="001D27C8">
        <w:rPr>
          <w:lang w:val="en-US"/>
        </w:rPr>
        <w:t xml:space="preserve">). </w:t>
      </w:r>
      <w:r>
        <w:rPr>
          <w:lang w:val="en-US"/>
        </w:rPr>
        <w:t xml:space="preserve">Figure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shows the objective value (i.e., total subsidization) for varying allocation of the opportunity costs (=costs of inaction) among the governance, the landlord, and the tenants. Most importantly, the objective value </w:t>
      </w:r>
      <w:proofErr w:type="gramStart"/>
      <w:r>
        <w:rPr>
          <w:lang w:val="en-US"/>
        </w:rPr>
        <w:t>is significantly reduced</w:t>
      </w:r>
      <w:proofErr w:type="gramEnd"/>
      <w:r>
        <w:rPr>
          <w:lang w:val="en-US"/>
        </w:rPr>
        <w:t xml:space="preserve"> in Case </w:t>
      </w:r>
      <w:r w:rsidR="00B67ACC">
        <w:rPr>
          <w:lang w:val="en-US"/>
        </w:rPr>
        <w:t>C</w:t>
      </w:r>
      <w:r>
        <w:rPr>
          <w:lang w:val="en-US"/>
        </w:rPr>
        <w:t xml:space="preserve"> (-49% compared to the reference case</w:t>
      </w:r>
      <w:r w:rsidR="00EF5D8A">
        <w:rPr>
          <w:lang w:val="en-US"/>
        </w:rPr>
        <w:t xml:space="preserve"> where the governance covers the opportunity costs</w:t>
      </w:r>
      <w:r>
        <w:rPr>
          <w:lang w:val="en-US"/>
        </w:rPr>
        <w:t>).</w:t>
      </w:r>
    </w:p>
    <w:p w14:paraId="523B3FE3" w14:textId="465F5CB1" w:rsidR="001B6577" w:rsidRPr="001E0B14" w:rsidRDefault="001B6577" w:rsidP="001B6577">
      <w:pPr>
        <w:pStyle w:val="berschrift1"/>
        <w:rPr>
          <w:sz w:val="20"/>
          <w:szCs w:val="20"/>
          <w:lang w:val="en-US"/>
        </w:rPr>
      </w:pPr>
      <w:r w:rsidRPr="001E0B14">
        <w:rPr>
          <w:sz w:val="20"/>
          <w:szCs w:val="20"/>
          <w:lang w:val="en-US"/>
        </w:rPr>
        <w:t>References</w:t>
      </w:r>
    </w:p>
    <w:p w14:paraId="698B2104" w14:textId="77777777" w:rsidR="00C9254A" w:rsidRPr="008D3017" w:rsidRDefault="001B6577" w:rsidP="00725939">
      <w:pPr>
        <w:rPr>
          <w:noProof/>
          <w:sz w:val="14"/>
          <w:szCs w:val="14"/>
          <w:lang w:val="en-US"/>
        </w:rPr>
      </w:pPr>
      <w:r w:rsidRPr="008D3017">
        <w:rPr>
          <w:noProof/>
          <w:sz w:val="14"/>
          <w:szCs w:val="14"/>
          <w:lang w:val="en-US"/>
        </w:rPr>
        <w:t>[1] European Commission, „Communication from the Commission to the European Parliament, the Council, the European Economic and Social Committee and the Committee of the Regions 'Fit for 55': delivering the EU's 2030 climate target on the way to climate neutrality, retrieved on 29.09.2021 under https://eur-lex.europa.eu/legal-content/EN/TXT/?uri=CELEX:52021DC0550 (2021).</w:t>
      </w:r>
    </w:p>
    <w:p w14:paraId="52973848" w14:textId="4D76585B" w:rsidR="00BC282D" w:rsidRPr="008D3017" w:rsidRDefault="00F15F46" w:rsidP="00725939">
      <w:pPr>
        <w:rPr>
          <w:noProof/>
          <w:sz w:val="14"/>
          <w:szCs w:val="14"/>
          <w:lang w:val="en-US"/>
        </w:rPr>
      </w:pPr>
      <w:r w:rsidRPr="008D3017">
        <w:rPr>
          <w:noProof/>
          <w:sz w:val="14"/>
          <w:szCs w:val="14"/>
          <w:lang w:val="en-US"/>
        </w:rPr>
        <w:t xml:space="preserve">[2] Zwickl-Bernard, S. &amp; Auer, H. Demystifying natural gas distribution grid decommissioning: An open-source approach to local deep decarbonization of urban neighborhoods. </w:t>
      </w:r>
      <w:r w:rsidRPr="008D3017">
        <w:rPr>
          <w:i/>
          <w:noProof/>
          <w:sz w:val="14"/>
          <w:szCs w:val="14"/>
          <w:lang w:val="en-US"/>
        </w:rPr>
        <w:t>Energy</w:t>
      </w:r>
      <w:r w:rsidRPr="008D3017">
        <w:rPr>
          <w:noProof/>
          <w:sz w:val="14"/>
          <w:szCs w:val="14"/>
          <w:lang w:val="en-US"/>
        </w:rPr>
        <w:t xml:space="preserve">, 238, 121805. (2022), doi: https://doi.org/10.1016/j.energy.2021.121805. </w:t>
      </w:r>
    </w:p>
    <w:sectPr w:rsidR="00BC282D" w:rsidRPr="008D3017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9A0EFA" w16cid:durableId="2537B8E8"/>
  <w16cid:commentId w16cid:paraId="3FC225CA" w16cid:durableId="2537B945"/>
  <w16cid:commentId w16cid:paraId="3E597E75" w16cid:durableId="2537B9C4"/>
  <w16cid:commentId w16cid:paraId="3FCE8F1A" w16cid:durableId="2537BA00"/>
  <w16cid:commentId w16cid:paraId="11DBC94E" w16cid:durableId="2537BA6E"/>
  <w16cid:commentId w16cid:paraId="05CCFC1B" w16cid:durableId="2537BA8F"/>
  <w16cid:commentId w16cid:paraId="6CA07600" w16cid:durableId="2537BAAD"/>
  <w16cid:commentId w16cid:paraId="29681D84" w16cid:durableId="2537BAFE"/>
  <w16cid:commentId w16cid:paraId="244021AE" w16cid:durableId="2537BB16"/>
  <w16cid:commentId w16cid:paraId="1900F508" w16cid:durableId="2537BB6B"/>
  <w16cid:commentId w16cid:paraId="5FA34B99" w16cid:durableId="2537BB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A44402" w14:textId="77777777" w:rsidR="00616D49" w:rsidRDefault="00616D49">
      <w:pPr>
        <w:spacing w:after="0" w:line="240" w:lineRule="auto"/>
      </w:pPr>
      <w:r>
        <w:separator/>
      </w:r>
    </w:p>
  </w:endnote>
  <w:endnote w:type="continuationSeparator" w:id="0">
    <w:p w14:paraId="4636844C" w14:textId="77777777" w:rsidR="00616D49" w:rsidRDefault="00616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9F59A9" w14:textId="77777777" w:rsidR="00616D49" w:rsidRDefault="00616D49">
      <w:pPr>
        <w:spacing w:after="0" w:line="240" w:lineRule="auto"/>
      </w:pPr>
      <w:r>
        <w:separator/>
      </w:r>
    </w:p>
  </w:footnote>
  <w:footnote w:type="continuationSeparator" w:id="0">
    <w:p w14:paraId="33D8226A" w14:textId="77777777" w:rsidR="00616D49" w:rsidRDefault="00616D49">
      <w:pPr>
        <w:spacing w:after="0" w:line="240" w:lineRule="auto"/>
      </w:pPr>
      <w:r>
        <w:continuationSeparator/>
      </w:r>
    </w:p>
  </w:footnote>
  <w:footnote w:id="1">
    <w:p w14:paraId="7EBE7FAF" w14:textId="415EE410" w:rsidR="00E45528" w:rsidRPr="0097280D" w:rsidRDefault="00E45528" w:rsidP="00C75E8F">
      <w:pPr>
        <w:pStyle w:val="Funotentext"/>
        <w:ind w:left="284" w:hanging="284"/>
        <w:jc w:val="left"/>
      </w:pPr>
      <w:r>
        <w:rPr>
          <w:rStyle w:val="Funotenzeichen"/>
        </w:rPr>
        <w:footnoteRef/>
      </w:r>
      <w:r>
        <w:t>Institut für Energiesysteme und Elektrische Antriebe / Technische Universität Wien (TU-Wien),</w:t>
      </w:r>
      <w:r w:rsidR="00C75E8F">
        <w:t xml:space="preserve"> Energy Economics Group (EEG), </w:t>
      </w:r>
      <w:hyperlink r:id="rId1" w:history="1">
        <w:r w:rsidR="0066023F" w:rsidRPr="00907729">
          <w:rPr>
            <w:rStyle w:val="Hyperlink"/>
          </w:rPr>
          <w:t>zwickl@eeg.tuwien.ac.at</w:t>
        </w:r>
      </w:hyperlink>
    </w:p>
  </w:footnote>
  <w:footnote w:id="2">
    <w:p w14:paraId="6EE5F9E5" w14:textId="1F56206E" w:rsidR="00A36CBB" w:rsidRPr="00A36CBB" w:rsidRDefault="005206AC">
      <w:pPr>
        <w:pStyle w:val="Funotentext"/>
        <w:rPr>
          <w:lang w:val="en-US"/>
        </w:rPr>
      </w:pPr>
      <w:r w:rsidRPr="005206AC">
        <w:rPr>
          <w:rStyle w:val="Funotenzeichen"/>
          <w:lang w:val="en-US"/>
        </w:rPr>
        <w:t>*</w:t>
      </w:r>
      <w:r w:rsidR="00C75E8F" w:rsidRPr="00A36CBB">
        <w:rPr>
          <w:lang w:val="en-US"/>
        </w:rPr>
        <w:t xml:space="preserve"> </w:t>
      </w:r>
      <w:r w:rsidR="00A36CBB" w:rsidRPr="00A36CBB">
        <w:rPr>
          <w:lang w:val="en-US"/>
        </w:rPr>
        <w:t>This contribution will be presented by Hans Auer (</w:t>
      </w:r>
      <w:hyperlink r:id="rId2" w:history="1">
        <w:r w:rsidR="00A36CBB" w:rsidRPr="00907729">
          <w:rPr>
            <w:rStyle w:val="Hyperlink"/>
            <w:lang w:val="en-US"/>
          </w:rPr>
          <w:t>auer@eeg.tuwien.ac.at</w:t>
        </w:r>
      </w:hyperlink>
      <w:r w:rsidR="00A36CBB" w:rsidRPr="00A36CBB">
        <w:rPr>
          <w:lang w:val="en-US"/>
        </w:rP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69DB2A" w14:textId="0E85CAC4" w:rsidR="00E97C16" w:rsidRPr="00E97C16" w:rsidRDefault="00E97C16" w:rsidP="00E97C16">
    <w:pPr>
      <w:pStyle w:val="Kopfzeile"/>
      <w:tabs>
        <w:tab w:val="right" w:pos="9000"/>
      </w:tabs>
      <w:rPr>
        <w:u w:val="single"/>
      </w:rPr>
    </w:pPr>
    <w:r>
      <w:rPr>
        <w:u w:val="single"/>
      </w:rPr>
      <w:t>1</w:t>
    </w:r>
    <w:r w:rsidR="00051F96">
      <w:rPr>
        <w:u w:val="single"/>
      </w:rPr>
      <w:t>7</w:t>
    </w:r>
    <w:r w:rsidRPr="0035186B">
      <w:rPr>
        <w:u w:val="single"/>
      </w:rPr>
      <w:t>.</w:t>
    </w:r>
    <w:r>
      <w:rPr>
        <w:u w:val="single"/>
      </w:rPr>
      <w:t xml:space="preserve"> Symposium Energieinnovation, </w:t>
    </w:r>
    <w:r w:rsidR="00051F96">
      <w:rPr>
        <w:u w:val="single"/>
      </w:rPr>
      <w:t>Februar 2022</w:t>
    </w:r>
    <w:r w:rsidRPr="0035186B">
      <w:rPr>
        <w:u w:val="single"/>
      </w:rPr>
      <w:t>, Graz/Austria</w:t>
    </w:r>
    <w:r w:rsidRPr="0035186B"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106DC"/>
    <w:multiLevelType w:val="hybridMultilevel"/>
    <w:tmpl w:val="CF6CE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A0215"/>
    <w:multiLevelType w:val="hybridMultilevel"/>
    <w:tmpl w:val="0BA65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47119"/>
    <w:multiLevelType w:val="hybridMultilevel"/>
    <w:tmpl w:val="47C81FA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21AFF"/>
    <w:multiLevelType w:val="multilevel"/>
    <w:tmpl w:val="47C8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17C66"/>
    <w:multiLevelType w:val="hybridMultilevel"/>
    <w:tmpl w:val="20C0B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B2ED5"/>
    <w:multiLevelType w:val="hybridMultilevel"/>
    <w:tmpl w:val="C03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16"/>
    <w:rsid w:val="00005CEE"/>
    <w:rsid w:val="00025C41"/>
    <w:rsid w:val="00051F96"/>
    <w:rsid w:val="00052332"/>
    <w:rsid w:val="0006282C"/>
    <w:rsid w:val="000652F6"/>
    <w:rsid w:val="00086E1B"/>
    <w:rsid w:val="00094082"/>
    <w:rsid w:val="000976D1"/>
    <w:rsid w:val="000A0880"/>
    <w:rsid w:val="000A5F96"/>
    <w:rsid w:val="000B051A"/>
    <w:rsid w:val="000C53CE"/>
    <w:rsid w:val="000E0542"/>
    <w:rsid w:val="000E743C"/>
    <w:rsid w:val="000F302F"/>
    <w:rsid w:val="00132B57"/>
    <w:rsid w:val="00173DD8"/>
    <w:rsid w:val="00184BF0"/>
    <w:rsid w:val="00191420"/>
    <w:rsid w:val="001B089D"/>
    <w:rsid w:val="001B6577"/>
    <w:rsid w:val="001D27C8"/>
    <w:rsid w:val="001D3A69"/>
    <w:rsid w:val="001E0B14"/>
    <w:rsid w:val="001E2DF6"/>
    <w:rsid w:val="001E592C"/>
    <w:rsid w:val="001F6027"/>
    <w:rsid w:val="001F61EC"/>
    <w:rsid w:val="0020055D"/>
    <w:rsid w:val="00207147"/>
    <w:rsid w:val="002073CB"/>
    <w:rsid w:val="00210C25"/>
    <w:rsid w:val="002132DE"/>
    <w:rsid w:val="00224F4E"/>
    <w:rsid w:val="00227678"/>
    <w:rsid w:val="0023321E"/>
    <w:rsid w:val="00280D3C"/>
    <w:rsid w:val="0028127E"/>
    <w:rsid w:val="00284E69"/>
    <w:rsid w:val="00285A85"/>
    <w:rsid w:val="0028650B"/>
    <w:rsid w:val="002907BF"/>
    <w:rsid w:val="002A0CD0"/>
    <w:rsid w:val="002A7356"/>
    <w:rsid w:val="002B2BB3"/>
    <w:rsid w:val="002B54A5"/>
    <w:rsid w:val="002D524C"/>
    <w:rsid w:val="002E2770"/>
    <w:rsid w:val="002F75D4"/>
    <w:rsid w:val="003061CE"/>
    <w:rsid w:val="00306AD1"/>
    <w:rsid w:val="00312AC9"/>
    <w:rsid w:val="003133BF"/>
    <w:rsid w:val="00323074"/>
    <w:rsid w:val="00324C5E"/>
    <w:rsid w:val="00342A36"/>
    <w:rsid w:val="003473C7"/>
    <w:rsid w:val="00353A9C"/>
    <w:rsid w:val="00354318"/>
    <w:rsid w:val="003543B3"/>
    <w:rsid w:val="00365F17"/>
    <w:rsid w:val="00367D4B"/>
    <w:rsid w:val="00372268"/>
    <w:rsid w:val="00376770"/>
    <w:rsid w:val="00376C06"/>
    <w:rsid w:val="0038131B"/>
    <w:rsid w:val="003824C0"/>
    <w:rsid w:val="00383811"/>
    <w:rsid w:val="0039072F"/>
    <w:rsid w:val="0039293F"/>
    <w:rsid w:val="003A15F3"/>
    <w:rsid w:val="003B3205"/>
    <w:rsid w:val="003B4C88"/>
    <w:rsid w:val="003B579E"/>
    <w:rsid w:val="003B6B2E"/>
    <w:rsid w:val="003D45AB"/>
    <w:rsid w:val="003D7A8E"/>
    <w:rsid w:val="003E5CFC"/>
    <w:rsid w:val="00400EEA"/>
    <w:rsid w:val="00416FF4"/>
    <w:rsid w:val="004216D0"/>
    <w:rsid w:val="00434FE2"/>
    <w:rsid w:val="00444E4D"/>
    <w:rsid w:val="00466DDA"/>
    <w:rsid w:val="0048658E"/>
    <w:rsid w:val="00494FD3"/>
    <w:rsid w:val="004A5DBF"/>
    <w:rsid w:val="004B7732"/>
    <w:rsid w:val="004D0CDA"/>
    <w:rsid w:val="004D51C5"/>
    <w:rsid w:val="004D739B"/>
    <w:rsid w:val="004F6B4C"/>
    <w:rsid w:val="00506DC6"/>
    <w:rsid w:val="005145CF"/>
    <w:rsid w:val="00516DAD"/>
    <w:rsid w:val="00517942"/>
    <w:rsid w:val="005205BC"/>
    <w:rsid w:val="005206AC"/>
    <w:rsid w:val="00520BC1"/>
    <w:rsid w:val="00525F95"/>
    <w:rsid w:val="0054294B"/>
    <w:rsid w:val="00555A6B"/>
    <w:rsid w:val="00562007"/>
    <w:rsid w:val="005731BC"/>
    <w:rsid w:val="00577106"/>
    <w:rsid w:val="005804C8"/>
    <w:rsid w:val="005B11B0"/>
    <w:rsid w:val="005B3F68"/>
    <w:rsid w:val="005C7204"/>
    <w:rsid w:val="005F31D4"/>
    <w:rsid w:val="005F4B3D"/>
    <w:rsid w:val="005F620C"/>
    <w:rsid w:val="00610DAA"/>
    <w:rsid w:val="0061319A"/>
    <w:rsid w:val="00616D49"/>
    <w:rsid w:val="00621634"/>
    <w:rsid w:val="00621B6D"/>
    <w:rsid w:val="006229B6"/>
    <w:rsid w:val="00626F45"/>
    <w:rsid w:val="00627163"/>
    <w:rsid w:val="006514C7"/>
    <w:rsid w:val="006524B9"/>
    <w:rsid w:val="00654EC4"/>
    <w:rsid w:val="0066023F"/>
    <w:rsid w:val="00662026"/>
    <w:rsid w:val="0067440F"/>
    <w:rsid w:val="00677792"/>
    <w:rsid w:val="00680065"/>
    <w:rsid w:val="00694446"/>
    <w:rsid w:val="006A2CE9"/>
    <w:rsid w:val="006B30CB"/>
    <w:rsid w:val="006B593C"/>
    <w:rsid w:val="006C76FA"/>
    <w:rsid w:val="006C7CE0"/>
    <w:rsid w:val="006D20F6"/>
    <w:rsid w:val="006D7D07"/>
    <w:rsid w:val="006E058A"/>
    <w:rsid w:val="006E63DF"/>
    <w:rsid w:val="007156EC"/>
    <w:rsid w:val="00725939"/>
    <w:rsid w:val="00750ADE"/>
    <w:rsid w:val="00755D6A"/>
    <w:rsid w:val="00762D1F"/>
    <w:rsid w:val="007636C7"/>
    <w:rsid w:val="007751A0"/>
    <w:rsid w:val="007805C7"/>
    <w:rsid w:val="00783F16"/>
    <w:rsid w:val="007861F2"/>
    <w:rsid w:val="0078663F"/>
    <w:rsid w:val="007D428A"/>
    <w:rsid w:val="007D5A6F"/>
    <w:rsid w:val="007E0B29"/>
    <w:rsid w:val="007F23C6"/>
    <w:rsid w:val="007F573A"/>
    <w:rsid w:val="008148A6"/>
    <w:rsid w:val="008174AC"/>
    <w:rsid w:val="00817981"/>
    <w:rsid w:val="0082119B"/>
    <w:rsid w:val="008275D4"/>
    <w:rsid w:val="00840462"/>
    <w:rsid w:val="00845F55"/>
    <w:rsid w:val="0084699E"/>
    <w:rsid w:val="008569DE"/>
    <w:rsid w:val="00866CFD"/>
    <w:rsid w:val="00874BA9"/>
    <w:rsid w:val="00876EEE"/>
    <w:rsid w:val="00882E1E"/>
    <w:rsid w:val="00895C95"/>
    <w:rsid w:val="008A24F0"/>
    <w:rsid w:val="008B0570"/>
    <w:rsid w:val="008B1F2B"/>
    <w:rsid w:val="008B22B9"/>
    <w:rsid w:val="008D3017"/>
    <w:rsid w:val="008D460E"/>
    <w:rsid w:val="008D49C7"/>
    <w:rsid w:val="008D7574"/>
    <w:rsid w:val="008E6467"/>
    <w:rsid w:val="008F4335"/>
    <w:rsid w:val="0091403D"/>
    <w:rsid w:val="009275B5"/>
    <w:rsid w:val="0093054E"/>
    <w:rsid w:val="00941080"/>
    <w:rsid w:val="009534B8"/>
    <w:rsid w:val="009618C8"/>
    <w:rsid w:val="00970630"/>
    <w:rsid w:val="00990D5E"/>
    <w:rsid w:val="009A5737"/>
    <w:rsid w:val="009B72EA"/>
    <w:rsid w:val="009C05F2"/>
    <w:rsid w:val="009C6D2C"/>
    <w:rsid w:val="009F042C"/>
    <w:rsid w:val="00A02F2E"/>
    <w:rsid w:val="00A03C71"/>
    <w:rsid w:val="00A0520B"/>
    <w:rsid w:val="00A235D2"/>
    <w:rsid w:val="00A26641"/>
    <w:rsid w:val="00A36CBB"/>
    <w:rsid w:val="00A40241"/>
    <w:rsid w:val="00A4040A"/>
    <w:rsid w:val="00A461EF"/>
    <w:rsid w:val="00A611E1"/>
    <w:rsid w:val="00A710E4"/>
    <w:rsid w:val="00A72AB9"/>
    <w:rsid w:val="00A75BB4"/>
    <w:rsid w:val="00A762C8"/>
    <w:rsid w:val="00A85EB3"/>
    <w:rsid w:val="00A96944"/>
    <w:rsid w:val="00AA3D68"/>
    <w:rsid w:val="00AB3045"/>
    <w:rsid w:val="00AD0D00"/>
    <w:rsid w:val="00AF1CD3"/>
    <w:rsid w:val="00B05ED0"/>
    <w:rsid w:val="00B156E9"/>
    <w:rsid w:val="00B22959"/>
    <w:rsid w:val="00B26050"/>
    <w:rsid w:val="00B32C18"/>
    <w:rsid w:val="00B332E4"/>
    <w:rsid w:val="00B45794"/>
    <w:rsid w:val="00B67ACC"/>
    <w:rsid w:val="00B7214D"/>
    <w:rsid w:val="00B8079D"/>
    <w:rsid w:val="00B85D86"/>
    <w:rsid w:val="00B9490D"/>
    <w:rsid w:val="00BA5640"/>
    <w:rsid w:val="00BB1748"/>
    <w:rsid w:val="00BC282D"/>
    <w:rsid w:val="00BC7320"/>
    <w:rsid w:val="00BD4B5D"/>
    <w:rsid w:val="00BE01A3"/>
    <w:rsid w:val="00BF55D9"/>
    <w:rsid w:val="00C04CB9"/>
    <w:rsid w:val="00C06C06"/>
    <w:rsid w:val="00C07212"/>
    <w:rsid w:val="00C26621"/>
    <w:rsid w:val="00C321FD"/>
    <w:rsid w:val="00C4580B"/>
    <w:rsid w:val="00C6760F"/>
    <w:rsid w:val="00C74B50"/>
    <w:rsid w:val="00C75E8F"/>
    <w:rsid w:val="00C762C8"/>
    <w:rsid w:val="00C9254A"/>
    <w:rsid w:val="00C92E7F"/>
    <w:rsid w:val="00C93BA8"/>
    <w:rsid w:val="00CA7837"/>
    <w:rsid w:val="00CB0AD7"/>
    <w:rsid w:val="00CB17CE"/>
    <w:rsid w:val="00CC28EB"/>
    <w:rsid w:val="00CC40BC"/>
    <w:rsid w:val="00CC5EC9"/>
    <w:rsid w:val="00CF4FD1"/>
    <w:rsid w:val="00D0202D"/>
    <w:rsid w:val="00D177B6"/>
    <w:rsid w:val="00D21777"/>
    <w:rsid w:val="00D219C5"/>
    <w:rsid w:val="00D5105B"/>
    <w:rsid w:val="00D53BE5"/>
    <w:rsid w:val="00D60C8F"/>
    <w:rsid w:val="00D62863"/>
    <w:rsid w:val="00D67002"/>
    <w:rsid w:val="00D700A5"/>
    <w:rsid w:val="00D75F75"/>
    <w:rsid w:val="00DA77D8"/>
    <w:rsid w:val="00DB4127"/>
    <w:rsid w:val="00DB511B"/>
    <w:rsid w:val="00DD12B5"/>
    <w:rsid w:val="00DD255D"/>
    <w:rsid w:val="00DE0C78"/>
    <w:rsid w:val="00E17741"/>
    <w:rsid w:val="00E2596F"/>
    <w:rsid w:val="00E415EA"/>
    <w:rsid w:val="00E42BFC"/>
    <w:rsid w:val="00E45528"/>
    <w:rsid w:val="00E70F85"/>
    <w:rsid w:val="00E71EB4"/>
    <w:rsid w:val="00E75E38"/>
    <w:rsid w:val="00E87B54"/>
    <w:rsid w:val="00E97C16"/>
    <w:rsid w:val="00EB0F30"/>
    <w:rsid w:val="00EB4262"/>
    <w:rsid w:val="00ED542C"/>
    <w:rsid w:val="00ED603C"/>
    <w:rsid w:val="00EE1CBE"/>
    <w:rsid w:val="00EF3596"/>
    <w:rsid w:val="00EF5D8A"/>
    <w:rsid w:val="00F15F46"/>
    <w:rsid w:val="00F24F8D"/>
    <w:rsid w:val="00F33663"/>
    <w:rsid w:val="00F8579B"/>
    <w:rsid w:val="00F87D7F"/>
    <w:rsid w:val="00FA20B7"/>
    <w:rsid w:val="00FA62EB"/>
    <w:rsid w:val="00FB2872"/>
    <w:rsid w:val="00FC710A"/>
    <w:rsid w:val="00FF0C55"/>
    <w:rsid w:val="00FF2FC1"/>
    <w:rsid w:val="00FF72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BF700A"/>
  <w14:defaultImageDpi w14:val="300"/>
  <w15:docId w15:val="{8A420FED-84AA-474A-B4C3-DEB61C3F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F1CD3"/>
    <w:pPr>
      <w:spacing w:after="120" w:line="264" w:lineRule="auto"/>
      <w:jc w:val="both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F0B55"/>
    <w:pPr>
      <w:keepNext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berschrift2">
    <w:name w:val="heading 2"/>
    <w:basedOn w:val="Standard"/>
    <w:next w:val="Standard"/>
    <w:qFormat/>
    <w:rsid w:val="00EF0B55"/>
    <w:pPr>
      <w:keepNext/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berschrift3">
    <w:name w:val="heading 3"/>
    <w:basedOn w:val="Standard"/>
    <w:next w:val="Standard"/>
    <w:qFormat/>
    <w:rsid w:val="001A0C69"/>
    <w:pPr>
      <w:keepNext/>
      <w:spacing w:before="240" w:after="60"/>
      <w:outlineLvl w:val="2"/>
    </w:pPr>
    <w:rPr>
      <w:rFonts w:cs="Arial"/>
      <w:b/>
      <w:bCs/>
      <w:sz w:val="22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">
    <w:name w:val="TITEL"/>
    <w:rsid w:val="00EF0B55"/>
    <w:pPr>
      <w:spacing w:after="240"/>
      <w:jc w:val="center"/>
    </w:pPr>
    <w:rPr>
      <w:rFonts w:ascii="Arial" w:hAnsi="Arial" w:cs="Arial"/>
      <w:b/>
      <w:bCs/>
      <w:kern w:val="32"/>
      <w:sz w:val="36"/>
      <w:szCs w:val="32"/>
    </w:rPr>
  </w:style>
  <w:style w:type="paragraph" w:customStyle="1" w:styleId="Autoren">
    <w:name w:val="Autoren"/>
    <w:basedOn w:val="Standard"/>
    <w:rsid w:val="00EF0B55"/>
    <w:pPr>
      <w:jc w:val="center"/>
    </w:pPr>
    <w:rPr>
      <w:b/>
      <w:sz w:val="24"/>
    </w:rPr>
  </w:style>
  <w:style w:type="paragraph" w:customStyle="1" w:styleId="Institution">
    <w:name w:val="Institution"/>
    <w:basedOn w:val="Standard"/>
    <w:rsid w:val="00EF0B55"/>
    <w:pPr>
      <w:spacing w:before="60" w:after="240" w:line="240" w:lineRule="auto"/>
      <w:jc w:val="center"/>
    </w:pPr>
    <w:rPr>
      <w:sz w:val="24"/>
    </w:rPr>
  </w:style>
  <w:style w:type="paragraph" w:styleId="Funotentext">
    <w:name w:val="footnote text"/>
    <w:basedOn w:val="Standard"/>
    <w:link w:val="FunotentextZchn"/>
    <w:semiHidden/>
    <w:rsid w:val="0097280D"/>
    <w:pPr>
      <w:tabs>
        <w:tab w:val="left" w:pos="284"/>
      </w:tabs>
      <w:spacing w:after="0" w:line="240" w:lineRule="auto"/>
    </w:pPr>
    <w:rPr>
      <w:szCs w:val="20"/>
    </w:rPr>
  </w:style>
  <w:style w:type="character" w:styleId="Funotenzeichen">
    <w:name w:val="footnote reference"/>
    <w:basedOn w:val="Absatz-Standardschriftart"/>
    <w:semiHidden/>
    <w:rsid w:val="001A0C69"/>
    <w:rPr>
      <w:vertAlign w:val="superscript"/>
    </w:rPr>
  </w:style>
  <w:style w:type="paragraph" w:styleId="Dokumentstruktur">
    <w:name w:val="Document Map"/>
    <w:basedOn w:val="Standard"/>
    <w:semiHidden/>
    <w:rsid w:val="00EF0B55"/>
    <w:pPr>
      <w:shd w:val="clear" w:color="auto" w:fill="C6D5EC"/>
    </w:pPr>
    <w:rPr>
      <w:rFonts w:ascii="Lucida Grande" w:hAnsi="Lucida Grande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97C16"/>
    <w:rPr>
      <w:rFonts w:ascii="Arial" w:hAnsi="Arial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97C16"/>
    <w:rPr>
      <w:rFonts w:ascii="Arial" w:hAnsi="Arial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C7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C7CE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E592C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4D0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6577"/>
    <w:rPr>
      <w:rFonts w:ascii="Arial" w:hAnsi="Arial" w:cs="Arial"/>
      <w:b/>
      <w:bCs/>
      <w:kern w:val="32"/>
      <w:sz w:val="24"/>
      <w:szCs w:val="32"/>
    </w:rPr>
  </w:style>
  <w:style w:type="paragraph" w:styleId="Literaturverzeichnis">
    <w:name w:val="Bibliography"/>
    <w:basedOn w:val="Standard"/>
    <w:next w:val="Standard"/>
    <w:uiPriority w:val="37"/>
    <w:unhideWhenUsed/>
    <w:rsid w:val="001B6577"/>
  </w:style>
  <w:style w:type="character" w:styleId="Hyperlink">
    <w:name w:val="Hyperlink"/>
    <w:basedOn w:val="Absatz-Standardschriftart"/>
    <w:uiPriority w:val="99"/>
    <w:unhideWhenUsed/>
    <w:rsid w:val="001B6577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8D7574"/>
    <w:rPr>
      <w:color w:val="808080"/>
    </w:rPr>
  </w:style>
  <w:style w:type="table" w:styleId="Tabellenraster">
    <w:name w:val="Table Grid"/>
    <w:basedOn w:val="NormaleTabelle"/>
    <w:uiPriority w:val="59"/>
    <w:rsid w:val="008D7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notentextZchn">
    <w:name w:val="Fußnotentext Zchn"/>
    <w:basedOn w:val="Absatz-Standardschriftart"/>
    <w:link w:val="Funotentext"/>
    <w:semiHidden/>
    <w:rsid w:val="00E45528"/>
    <w:rPr>
      <w:rFonts w:ascii="Arial" w:hAnsi="Arial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F4FD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F4FD1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F4FD1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F4FD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F4FD1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6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mailto:auer@eeg.tuwien.ac.at" TargetMode="External"/><Relationship Id="rId1" Type="http://schemas.openxmlformats.org/officeDocument/2006/relationships/hyperlink" Target="mailto:zwickl@eeg.tuwien.ac.a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Platzhalter1</b:Tag>
    <b:SourceType>DocumentFromInternetSite</b:SourceType>
    <b:Guid>{B9A8FB76-0C33-4B51-8888-0A86F1DCCD6F}</b:Guid>
    <b:Title>Communication from the Commission to the European Parliament, the Council, the European Economic and Social Committee and the Committee of the Regions 'Fit for 55': delivering the EU's 2030 climate target on the way to climate neutrality</b:Title>
    <b:Year>2021</b:Year>
    <b:Author>
      <b:Author>
        <b:Corporate>European Commission</b:Corporate>
      </b:Author>
    </b:Author>
    <b:URL>https://eur-lex.europa.eu/legal-content/EN/TXT/?uri=CELEX:52021DC0550</b:URL>
    <b:RefOrder>1</b:RefOrder>
  </b:Source>
</b:Sources>
</file>

<file path=customXml/itemProps1.xml><?xml version="1.0" encoding="utf-8"?>
<ds:datastoreItem xmlns:ds="http://schemas.openxmlformats.org/officeDocument/2006/customXml" ds:itemID="{0A9ACB61-8332-4BAB-98EE-C3FCE0BA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815</Words>
  <Characters>4649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Titel, Bezeichnung des Vortrags</vt:lpstr>
      <vt:lpstr>Titel, Bezeichnung des Vortrags</vt:lpstr>
    </vt:vector>
  </TitlesOfParts>
  <Company>TUGRAZ</Company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Titel, Bezeichnung des Vortrags</dc:title>
  <dc:creator>huber</dc:creator>
  <cp:lastModifiedBy>zwickl-nb</cp:lastModifiedBy>
  <cp:revision>15</cp:revision>
  <cp:lastPrinted>2017-12-01T14:02:00Z</cp:lastPrinted>
  <dcterms:created xsi:type="dcterms:W3CDTF">2021-11-11T14:58:00Z</dcterms:created>
  <dcterms:modified xsi:type="dcterms:W3CDTF">2021-11-11T17:48:00Z</dcterms:modified>
</cp:coreProperties>
</file>