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A8FA8" w14:textId="3CDD100D" w:rsidR="00E2596F" w:rsidRPr="004B7732" w:rsidRDefault="00224F4E" w:rsidP="00725939">
      <w:pPr>
        <w:pStyle w:val="TITEL"/>
        <w:outlineLvl w:val="0"/>
        <w:rPr>
          <w:smallCaps/>
          <w:lang w:val="en-US"/>
        </w:rPr>
      </w:pPr>
      <w:r>
        <w:rPr>
          <w:smallCaps/>
          <w:lang w:val="en-US"/>
        </w:rPr>
        <w:t xml:space="preserve">Cost-optimal and socially </w:t>
      </w:r>
      <w:r w:rsidR="00F33663" w:rsidRPr="004B7732">
        <w:rPr>
          <w:smallCaps/>
          <w:lang w:val="en-US"/>
        </w:rPr>
        <w:t>balanced subsidization strategy incentivizing a just heating system decarbonization at the building level</w:t>
      </w:r>
    </w:p>
    <w:p w14:paraId="1BF7737F" w14:textId="4626CC71" w:rsidR="00725939" w:rsidRPr="00F33663" w:rsidRDefault="00051F96" w:rsidP="00E45528">
      <w:pPr>
        <w:pStyle w:val="Autoren"/>
        <w:rPr>
          <w:lang w:val="de-AT"/>
        </w:rPr>
      </w:pPr>
      <w:r w:rsidRPr="00F33663">
        <w:rPr>
          <w:lang w:val="de-AT"/>
        </w:rPr>
        <w:t>Sebastian Zwickl-Bernhard</w:t>
      </w:r>
      <w:r w:rsidRPr="00F33663">
        <w:rPr>
          <w:rStyle w:val="Funotenzeichen"/>
          <w:lang w:val="de-AT"/>
        </w:rPr>
        <w:t>1</w:t>
      </w:r>
      <w:r w:rsidR="00E45528" w:rsidRPr="00F33663">
        <w:rPr>
          <w:lang w:val="de-AT"/>
        </w:rPr>
        <w:t xml:space="preserve">, </w:t>
      </w:r>
      <w:r w:rsidR="00E45528" w:rsidRPr="00F33663">
        <w:rPr>
          <w:u w:val="single"/>
          <w:lang w:val="de-AT"/>
        </w:rPr>
        <w:t>Hans Auer</w:t>
      </w:r>
      <w:r w:rsidR="00E45528" w:rsidRPr="00EF0B55">
        <w:rPr>
          <w:rStyle w:val="Funotenzeichen"/>
        </w:rPr>
        <w:footnoteReference w:id="1"/>
      </w:r>
      <w:r w:rsidR="005206AC" w:rsidRPr="00F33663">
        <w:rPr>
          <w:lang w:val="de-AT"/>
        </w:rPr>
        <w:t>*</w:t>
      </w:r>
      <w:r w:rsidR="00C75E8F" w:rsidRPr="005206AC">
        <w:rPr>
          <w:rStyle w:val="Funotenzeichen"/>
          <w:color w:val="FFFFFF" w:themeColor="background1"/>
          <w:lang w:val="de-AT"/>
        </w:rPr>
        <w:footnoteReference w:id="2"/>
      </w:r>
    </w:p>
    <w:p w14:paraId="7F16957E" w14:textId="094AD6A6" w:rsidR="00725939" w:rsidRPr="00F33663" w:rsidRDefault="000652F6" w:rsidP="00725939">
      <w:pPr>
        <w:pStyle w:val="berschrift1"/>
        <w:rPr>
          <w:lang w:val="en-US"/>
        </w:rPr>
      </w:pPr>
      <w:r w:rsidRPr="00F33663">
        <w:rPr>
          <w:lang w:val="en-US"/>
        </w:rPr>
        <w:t>Motivation</w:t>
      </w:r>
      <w:r w:rsidR="001E592C" w:rsidRPr="00F33663">
        <w:rPr>
          <w:lang w:val="en-US"/>
        </w:rPr>
        <w:t xml:space="preserve"> </w:t>
      </w:r>
      <w:r w:rsidR="00654EC4" w:rsidRPr="00F33663">
        <w:rPr>
          <w:lang w:val="en-US"/>
        </w:rPr>
        <w:t xml:space="preserve">and core objective </w:t>
      </w:r>
    </w:p>
    <w:p w14:paraId="41435F12" w14:textId="31C3A322" w:rsidR="00750ADE" w:rsidRDefault="00750ADE" w:rsidP="00C04CB9">
      <w:pPr>
        <w:rPr>
          <w:lang w:val="en-US"/>
        </w:rPr>
      </w:pPr>
      <w:r w:rsidRPr="00750ADE">
        <w:rPr>
          <w:lang w:val="en-US"/>
        </w:rPr>
        <w:t xml:space="preserve">The recently published „Fit for 55“ package by the European Commission [1] pledges a clean, sustainable, and just energy future for all European citizens. Thus, achieving the ambitious goal </w:t>
      </w:r>
      <w:r w:rsidR="00DA77D8" w:rsidRPr="00DA77D8">
        <w:rPr>
          <w:lang w:val="en-US"/>
        </w:rPr>
        <w:t xml:space="preserve">enshrined therein of </w:t>
      </w:r>
      <w:r w:rsidRPr="00750ADE">
        <w:rPr>
          <w:lang w:val="en-US"/>
        </w:rPr>
        <w:t xml:space="preserve">a 55% reduction in greenhouse gas emissions compared to 1990 in 2030 goes along with tackling the “hot potatoes” of </w:t>
      </w:r>
      <w:r w:rsidR="0054294B">
        <w:rPr>
          <w:lang w:val="en-US"/>
        </w:rPr>
        <w:t xml:space="preserve">deep decarbonizing the </w:t>
      </w:r>
      <w:r w:rsidR="004D51C5">
        <w:rPr>
          <w:lang w:val="en-US"/>
        </w:rPr>
        <w:t xml:space="preserve">energy </w:t>
      </w:r>
      <w:r w:rsidR="0054294B">
        <w:rPr>
          <w:lang w:val="en-US"/>
        </w:rPr>
        <w:t>system</w:t>
      </w:r>
      <w:r w:rsidR="00A85EB3">
        <w:rPr>
          <w:lang w:val="en-US"/>
        </w:rPr>
        <w:t xml:space="preserve">. </w:t>
      </w:r>
    </w:p>
    <w:p w14:paraId="4332D765" w14:textId="49A3E2BA" w:rsidR="00626F45" w:rsidRDefault="00845F55" w:rsidP="00C04CB9">
      <w:pPr>
        <w:rPr>
          <w:lang w:val="en-US"/>
        </w:rPr>
      </w:pPr>
      <w:r w:rsidRPr="00845F55">
        <w:rPr>
          <w:lang w:val="en-US"/>
        </w:rPr>
        <w:t xml:space="preserve">Against this background, the core objective of this work is to investigate one of these hot potatoes, namely, socially balanced and fair decarbonization of the heat service supply of a multi-apartment building in an urban area. In particular, we investigate a cost-optimal subsidization strategy from the governance’s perspective to incentivize a sustainable heating system change taking into account a representative ownership structure with a single </w:t>
      </w:r>
      <w:proofErr w:type="gramStart"/>
      <w:r w:rsidRPr="00845F55">
        <w:rPr>
          <w:lang w:val="en-US"/>
        </w:rPr>
        <w:t>landlord</w:t>
      </w:r>
      <w:proofErr w:type="gramEnd"/>
      <w:r w:rsidRPr="00845F55">
        <w:rPr>
          <w:lang w:val="en-US"/>
        </w:rPr>
        <w:t xml:space="preserve"> and multiple tenants within the building. Initially, the multi-apartment building </w:t>
      </w:r>
      <w:proofErr w:type="gramStart"/>
      <w:r w:rsidRPr="00845F55">
        <w:rPr>
          <w:lang w:val="en-US"/>
        </w:rPr>
        <w:t>is heated</w:t>
      </w:r>
      <w:proofErr w:type="gramEnd"/>
      <w:r w:rsidRPr="00845F55">
        <w:rPr>
          <w:lang w:val="en-US"/>
        </w:rPr>
        <w:t xml:space="preserve"> by a gas-based heating </w:t>
      </w:r>
      <w:r w:rsidR="00A4040A" w:rsidRPr="00845F55">
        <w:rPr>
          <w:lang w:val="en-US"/>
        </w:rPr>
        <w:t>system, which</w:t>
      </w:r>
      <w:r w:rsidRPr="00845F55">
        <w:rPr>
          <w:lang w:val="en-US"/>
        </w:rPr>
        <w:t xml:space="preserve"> is why tenants' energy costs significantly depend on the carbon pricing. Therefore, to decarbonize the heat service supply and make the energy costs more robust against high carbon prices, an investment by the </w:t>
      </w:r>
      <w:proofErr w:type="gramStart"/>
      <w:r w:rsidRPr="00845F55">
        <w:rPr>
          <w:lang w:val="en-US"/>
        </w:rPr>
        <w:t>landlord</w:t>
      </w:r>
      <w:proofErr w:type="gramEnd"/>
      <w:r w:rsidRPr="00845F55">
        <w:rPr>
          <w:lang w:val="en-US"/>
        </w:rPr>
        <w:t xml:space="preserve"> is </w:t>
      </w:r>
      <w:r w:rsidR="00626F45">
        <w:rPr>
          <w:lang w:val="en-US"/>
        </w:rPr>
        <w:t>needed</w:t>
      </w:r>
      <w:r w:rsidRPr="00845F55">
        <w:rPr>
          <w:lang w:val="en-US"/>
        </w:rPr>
        <w:t xml:space="preserve">, as the latter is the </w:t>
      </w:r>
      <w:r w:rsidR="00DE0C78">
        <w:rPr>
          <w:lang w:val="en-US"/>
        </w:rPr>
        <w:t xml:space="preserve">building’s </w:t>
      </w:r>
      <w:r w:rsidRPr="00845F55">
        <w:rPr>
          <w:lang w:val="en-US"/>
        </w:rPr>
        <w:t>owner.</w:t>
      </w:r>
    </w:p>
    <w:p w14:paraId="173266B2" w14:textId="6C7D25F5" w:rsidR="004F6B4C" w:rsidRPr="00EE1CBE" w:rsidRDefault="00EE1CBE" w:rsidP="001B089D">
      <w:pPr>
        <w:rPr>
          <w:lang w:val="en-US"/>
        </w:rPr>
      </w:pPr>
      <w:r w:rsidRPr="00EE1CBE">
        <w:rPr>
          <w:lang w:val="en-US"/>
        </w:rPr>
        <w:t xml:space="preserve">Figure 1 illustrates the basic concept of the paper. Governance has the option to provide financial subsidy payments for both agents, the </w:t>
      </w:r>
      <w:proofErr w:type="gramStart"/>
      <w:r w:rsidRPr="00EE1CBE">
        <w:rPr>
          <w:lang w:val="en-US"/>
        </w:rPr>
        <w:t>landlord</w:t>
      </w:r>
      <w:proofErr w:type="gramEnd"/>
      <w:r w:rsidRPr="00EE1CBE">
        <w:rPr>
          <w:lang w:val="en-US"/>
        </w:rPr>
        <w:t xml:space="preserve">, and the tenants, by an investment grant or rent charge adjustment on the one hand and a heating costs subsidy payment on the other hand. Nevertheless, the optimal governance’s financial incentives achieve subsidy parity among the </w:t>
      </w:r>
      <w:proofErr w:type="gramStart"/>
      <w:r w:rsidRPr="00EE1CBE">
        <w:rPr>
          <w:lang w:val="en-US"/>
        </w:rPr>
        <w:t>landlord</w:t>
      </w:r>
      <w:proofErr w:type="gramEnd"/>
      <w:r w:rsidRPr="00EE1CBE">
        <w:rPr>
          <w:lang w:val="en-US"/>
        </w:rPr>
        <w:t xml:space="preserve"> and tenants by providing the same net present value of subsidy payments to both.  </w:t>
      </w:r>
    </w:p>
    <w:p w14:paraId="098E1A44" w14:textId="1A3FF9F0" w:rsidR="002D524C" w:rsidRPr="002D524C" w:rsidRDefault="00D5105B" w:rsidP="002D524C">
      <w:pPr>
        <w:keepNext/>
        <w:jc w:val="center"/>
      </w:pPr>
      <w:r>
        <w:rPr>
          <w:noProof/>
          <w:lang w:val="en-US" w:eastAsia="en-US"/>
        </w:rPr>
        <w:drawing>
          <wp:inline distT="0" distB="0" distL="0" distR="0" wp14:anchorId="6F56EFD7" wp14:editId="1EAFA3E1">
            <wp:extent cx="2903562" cy="20967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12704" cy="2103372"/>
                    </a:xfrm>
                    <a:prstGeom prst="rect">
                      <a:avLst/>
                    </a:prstGeom>
                    <a:noFill/>
                    <a:ln>
                      <a:noFill/>
                    </a:ln>
                  </pic:spPr>
                </pic:pic>
              </a:graphicData>
            </a:graphic>
          </wp:inline>
        </w:drawing>
      </w:r>
    </w:p>
    <w:p w14:paraId="1C8B4EA3" w14:textId="3750DA48" w:rsidR="00D5105B" w:rsidRPr="004D0CDA" w:rsidRDefault="004D0CDA" w:rsidP="004D0CDA">
      <w:pPr>
        <w:pStyle w:val="Beschriftung"/>
        <w:jc w:val="center"/>
        <w:rPr>
          <w:color w:val="000000" w:themeColor="text1"/>
          <w:lang w:val="en-US"/>
        </w:rPr>
      </w:pPr>
      <w:bookmarkStart w:id="0" w:name="_Ref86234421"/>
      <w:r w:rsidRPr="004D0CDA">
        <w:rPr>
          <w:color w:val="000000" w:themeColor="text1"/>
          <w:lang w:val="en-US"/>
        </w:rPr>
        <w:t xml:space="preserve">Figure </w:t>
      </w:r>
      <w:r w:rsidRPr="004D0CDA">
        <w:rPr>
          <w:color w:val="000000" w:themeColor="text1"/>
        </w:rPr>
        <w:fldChar w:fldCharType="begin"/>
      </w:r>
      <w:r w:rsidRPr="004D0CDA">
        <w:rPr>
          <w:color w:val="000000" w:themeColor="text1"/>
          <w:lang w:val="en-US"/>
        </w:rPr>
        <w:instrText xml:space="preserve"> SEQ Figure \* ARABIC </w:instrText>
      </w:r>
      <w:r w:rsidRPr="004D0CDA">
        <w:rPr>
          <w:color w:val="000000" w:themeColor="text1"/>
        </w:rPr>
        <w:fldChar w:fldCharType="separate"/>
      </w:r>
      <w:r w:rsidRPr="004D0CDA">
        <w:rPr>
          <w:noProof/>
          <w:color w:val="000000" w:themeColor="text1"/>
          <w:lang w:val="en-US"/>
        </w:rPr>
        <w:t>1</w:t>
      </w:r>
      <w:r w:rsidRPr="004D0CDA">
        <w:rPr>
          <w:color w:val="000000" w:themeColor="text1"/>
        </w:rPr>
        <w:fldChar w:fldCharType="end"/>
      </w:r>
      <w:bookmarkEnd w:id="0"/>
      <w:r w:rsidR="002D524C" w:rsidRPr="002D524C">
        <w:rPr>
          <w:color w:val="000000" w:themeColor="text1"/>
          <w:lang w:val="en-US"/>
        </w:rPr>
        <w:t xml:space="preserve"> </w:t>
      </w:r>
      <w:r w:rsidR="002D524C">
        <w:rPr>
          <w:color w:val="000000" w:themeColor="text1"/>
          <w:lang w:val="en-US"/>
        </w:rPr>
        <w:t>S</w:t>
      </w:r>
      <w:r w:rsidR="002D524C" w:rsidRPr="002D524C">
        <w:rPr>
          <w:color w:val="000000" w:themeColor="text1"/>
          <w:lang w:val="en-US"/>
        </w:rPr>
        <w:t>ketch illustrating the governance’s financial incentives considering social balance</w:t>
      </w:r>
    </w:p>
    <w:p w14:paraId="5D980FFF" w14:textId="17210F39" w:rsidR="001E592C" w:rsidRPr="00FA20B7" w:rsidRDefault="006E63DF" w:rsidP="009B72EA">
      <w:pPr>
        <w:pStyle w:val="berschrift1"/>
        <w:rPr>
          <w:lang w:val="en-US"/>
        </w:rPr>
      </w:pPr>
      <w:r w:rsidRPr="00FA20B7">
        <w:rPr>
          <w:lang w:val="en-US"/>
        </w:rPr>
        <w:t>Methodology and case study</w:t>
      </w:r>
    </w:p>
    <w:p w14:paraId="425F88D9" w14:textId="68D78315" w:rsidR="000976D1" w:rsidRPr="00FA20B7" w:rsidRDefault="003543B3" w:rsidP="003543B3">
      <w:pPr>
        <w:rPr>
          <w:lang w:val="en-US"/>
        </w:rPr>
      </w:pPr>
      <w:r w:rsidRPr="00FA20B7">
        <w:rPr>
          <w:lang w:val="en-US"/>
        </w:rPr>
        <w:t xml:space="preserve">To determine the </w:t>
      </w:r>
      <w:r w:rsidR="00C762C8" w:rsidRPr="00FA20B7">
        <w:rPr>
          <w:lang w:val="en-US"/>
        </w:rPr>
        <w:t xml:space="preserve">cost-optimal and </w:t>
      </w:r>
      <w:r w:rsidR="00224F4E" w:rsidRPr="00FA20B7">
        <w:rPr>
          <w:lang w:val="en-US"/>
        </w:rPr>
        <w:t>socially balanced</w:t>
      </w:r>
      <w:r w:rsidR="00C762C8" w:rsidRPr="00FA20B7">
        <w:rPr>
          <w:lang w:val="en-US"/>
        </w:rPr>
        <w:t xml:space="preserve"> subsidization strategy, we propose a linear optimization model. Thereby, t</w:t>
      </w:r>
      <w:r w:rsidR="000A5F96" w:rsidRPr="00FA20B7">
        <w:rPr>
          <w:lang w:val="en-US"/>
        </w:rPr>
        <w:t>he model’s</w:t>
      </w:r>
      <w:r w:rsidR="00A26641" w:rsidRPr="00FA20B7">
        <w:rPr>
          <w:lang w:val="en-US"/>
        </w:rPr>
        <w:t xml:space="preserve"> objective function is to </w:t>
      </w:r>
      <w:r w:rsidR="000A5F96" w:rsidRPr="00FA20B7">
        <w:rPr>
          <w:lang w:val="en-US"/>
        </w:rPr>
        <w:t>minimizing</w:t>
      </w:r>
      <w:r w:rsidR="00A26641" w:rsidRPr="00FA20B7">
        <w:rPr>
          <w:lang w:val="en-US"/>
        </w:rPr>
        <w:t xml:space="preserve"> the governance’s </w:t>
      </w:r>
      <w:r w:rsidR="008B22B9" w:rsidRPr="00FA20B7">
        <w:rPr>
          <w:lang w:val="en-US"/>
        </w:rPr>
        <w:t>net present value as</w:t>
      </w:r>
      <w:r w:rsidR="00C762C8" w:rsidRPr="00FA20B7">
        <w:rPr>
          <w:lang w:val="en-US"/>
        </w:rPr>
        <w:t xml:space="preserve"> follows</w:t>
      </w:r>
      <w:r w:rsidR="008B22B9" w:rsidRPr="00FA20B7">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3"/>
      </w:tblGrid>
      <w:tr w:rsidR="00FA20B7" w:rsidRPr="00FA20B7" w14:paraId="14E22549" w14:textId="77777777" w:rsidTr="008D7574">
        <w:tc>
          <w:tcPr>
            <w:tcW w:w="8755" w:type="dxa"/>
            <w:vAlign w:val="center"/>
          </w:tcPr>
          <w:p w14:paraId="05FC22B4" w14:textId="0F1EA869" w:rsidR="008D7574" w:rsidRPr="00FA20B7" w:rsidRDefault="00184BF0" w:rsidP="00FA20B7">
            <w:pPr>
              <w:jc w:val="cente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x</m:t>
                        </m:r>
                      </m:lim>
                    </m:limLow>
                  </m:fName>
                  <m:e>
                    <m:limLow>
                      <m:limLowPr>
                        <m:ctrlPr>
                          <w:rPr>
                            <w:rFonts w:ascii="Cambria Math" w:hAnsi="Cambria Math"/>
                            <w:i/>
                            <w:lang w:val="en-US"/>
                          </w:rPr>
                        </m:ctrlPr>
                      </m:limLow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Ψ</m:t>
                                </m:r>
                              </m:e>
                            </m:groupChr>
                          </m:e>
                          <m:lim>
                            <m:r>
                              <w:rPr>
                                <w:rFonts w:ascii="Cambria Math" w:hAnsi="Cambria Math"/>
                                <w:lang w:val="en-US"/>
                              </w:rPr>
                              <m:t>landlords</m:t>
                            </m:r>
                          </m:lim>
                        </m:limLow>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y</m:t>
                            </m:r>
                          </m:sub>
                          <m:sup/>
                          <m:e>
                            <m:nary>
                              <m:naryPr>
                                <m:chr m:val="∑"/>
                                <m:limLoc m:val="undOvr"/>
                                <m:ctrlPr>
                                  <w:rPr>
                                    <w:rFonts w:ascii="Cambria Math" w:hAnsi="Cambria Math"/>
                                    <w:i/>
                                    <w:lang w:val="en-US"/>
                                  </w:rPr>
                                </m:ctrlPr>
                              </m:naryPr>
                              <m:sub>
                                <m:r>
                                  <w:rPr>
                                    <w:rFonts w:ascii="Cambria Math" w:hAnsi="Cambria Math"/>
                                    <w:lang w:val="en-US"/>
                                  </w:rPr>
                                  <m:t>m</m:t>
                                </m:r>
                              </m:sub>
                              <m:sup/>
                              <m:e>
                                <m:f>
                                  <m:fPr>
                                    <m:ctrlPr>
                                      <w:rPr>
                                        <w:rFonts w:ascii="Cambria Math" w:hAnsi="Cambria Math"/>
                                        <w:i/>
                                        <w:lang w:val="en-US"/>
                                      </w:rPr>
                                    </m:ctrlPr>
                                  </m:fPr>
                                  <m:num>
                                    <m:r>
                                      <w:rPr>
                                        <w:rFonts w:ascii="Cambria Math" w:hAnsi="Cambria Math"/>
                                        <w:lang w:val="en-US"/>
                                      </w:rPr>
                                      <m:t>n</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e>
                                        </m:d>
                                      </m:e>
                                      <m:sup>
                                        <m:r>
                                          <w:rPr>
                                            <w:rFonts w:ascii="Cambria Math" w:hAnsi="Cambria Math"/>
                                            <w:lang w:val="en-US"/>
                                          </w:rPr>
                                          <m:t>y</m:t>
                                        </m:r>
                                      </m:sup>
                                    </m:sSup>
                                  </m:den>
                                </m:f>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heat,y,m</m:t>
                                            </m:r>
                                          </m:sub>
                                        </m:sSub>
                                      </m:e>
                                    </m:groupChr>
                                  </m:e>
                                  <m:lim>
                                    <m:r>
                                      <w:rPr>
                                        <w:rFonts w:ascii="Cambria Math" w:hAnsi="Cambria Math"/>
                                        <w:lang w:val="en-US"/>
                                      </w:rPr>
                                      <m:t>tenants</m:t>
                                    </m:r>
                                  </m:lim>
                                </m:limLow>
                              </m:e>
                            </m:nary>
                          </m:e>
                        </m:nary>
                      </m:e>
                      <m:lim/>
                    </m:limLow>
                  </m:e>
                </m:func>
              </m:oMath>
            </m:oMathPara>
          </w:p>
        </w:tc>
        <w:tc>
          <w:tcPr>
            <w:tcW w:w="533" w:type="dxa"/>
            <w:vAlign w:val="center"/>
          </w:tcPr>
          <w:p w14:paraId="34CC18DA" w14:textId="6C20D569" w:rsidR="008D7574" w:rsidRPr="00FA20B7" w:rsidRDefault="008D7574" w:rsidP="008D7574">
            <w:pPr>
              <w:jc w:val="center"/>
              <w:rPr>
                <w:lang w:val="en-US"/>
              </w:rPr>
            </w:pPr>
            <w:r w:rsidRPr="00FA20B7">
              <w:rPr>
                <w:lang w:val="en-US"/>
              </w:rPr>
              <w:t>(1)</w:t>
            </w:r>
          </w:p>
        </w:tc>
      </w:tr>
    </w:tbl>
    <w:p w14:paraId="2558C142" w14:textId="52D029B2" w:rsidR="008D7574" w:rsidRPr="002132DE" w:rsidRDefault="00C762C8" w:rsidP="003543B3">
      <w:pPr>
        <w:rPr>
          <w:color w:val="FF0000"/>
          <w:lang w:val="en-US"/>
        </w:rPr>
      </w:pPr>
      <w:proofErr w:type="gramStart"/>
      <w:r>
        <w:rPr>
          <w:color w:val="FF0000"/>
          <w:lang w:val="en-US"/>
        </w:rPr>
        <w:lastRenderedPageBreak/>
        <w:t>w</w:t>
      </w:r>
      <w:r w:rsidR="008B22B9" w:rsidRPr="002132DE">
        <w:rPr>
          <w:color w:val="FF0000"/>
          <w:lang w:val="en-US"/>
        </w:rPr>
        <w:t>here</w:t>
      </w:r>
      <w:proofErr w:type="gramEnd"/>
      <w:r w:rsidR="008B22B9" w:rsidRPr="002132DE">
        <w:rPr>
          <w:color w:val="FF0000"/>
          <w:lang w:val="en-US"/>
        </w:rPr>
        <w:t xml:space="preserve"> </w:t>
      </w:r>
    </w:p>
    <w:p w14:paraId="52B7A963" w14:textId="77777777" w:rsidR="000976D1" w:rsidRPr="002132DE" w:rsidRDefault="000976D1" w:rsidP="003543B3">
      <w:pPr>
        <w:rPr>
          <w:color w:val="FF0000"/>
          <w:highlight w:val="yellow"/>
          <w:lang w:val="en-US"/>
        </w:rPr>
      </w:pPr>
    </w:p>
    <w:p w14:paraId="617F2BD8" w14:textId="2FC9A3EB" w:rsidR="006E63DF" w:rsidRPr="002132DE" w:rsidRDefault="006E63DF" w:rsidP="006E63DF">
      <w:pPr>
        <w:rPr>
          <w:color w:val="FF0000"/>
          <w:highlight w:val="yellow"/>
          <w:lang w:val="en-US"/>
        </w:rPr>
      </w:pPr>
      <w:bookmarkStart w:id="1" w:name="_GoBack"/>
      <w:bookmarkEnd w:id="1"/>
      <w:r w:rsidRPr="002132DE">
        <w:rPr>
          <w:color w:val="FF0000"/>
          <w:highlight w:val="yellow"/>
          <w:lang w:val="en-US"/>
        </w:rPr>
        <w:t xml:space="preserve">The proposed model is applied to a representative multi-apartment building in an urban area. It is assumed that the building has a single </w:t>
      </w:r>
      <w:proofErr w:type="gramStart"/>
      <w:r w:rsidRPr="002132DE">
        <w:rPr>
          <w:color w:val="FF0000"/>
          <w:highlight w:val="yellow"/>
          <w:lang w:val="en-US"/>
        </w:rPr>
        <w:t>landlord</w:t>
      </w:r>
      <w:proofErr w:type="gramEnd"/>
      <w:r w:rsidRPr="002132DE">
        <w:rPr>
          <w:color w:val="FF0000"/>
          <w:highlight w:val="yellow"/>
          <w:lang w:val="en-US"/>
        </w:rPr>
        <w:t xml:space="preserve"> (owner) and 30 different tenants. </w:t>
      </w:r>
    </w:p>
    <w:p w14:paraId="6CA37494" w14:textId="354C7BEF" w:rsidR="00BB1748" w:rsidRDefault="001E592C" w:rsidP="00BB1748">
      <w:pPr>
        <w:pStyle w:val="berschrift1"/>
        <w:rPr>
          <w:lang w:val="en-US"/>
        </w:rPr>
      </w:pPr>
      <w:r w:rsidRPr="005B11B0">
        <w:rPr>
          <w:highlight w:val="yellow"/>
          <w:lang w:val="en-US"/>
        </w:rPr>
        <w:t>Results and conclusions</w:t>
      </w:r>
    </w:p>
    <w:p w14:paraId="523B3FE3" w14:textId="2011252F" w:rsidR="001B6577" w:rsidRDefault="001B6577" w:rsidP="001B6577">
      <w:pPr>
        <w:pStyle w:val="berschrift1"/>
        <w:rPr>
          <w:lang w:val="en-US"/>
        </w:rPr>
      </w:pPr>
      <w:r>
        <w:rPr>
          <w:lang w:val="en-US"/>
        </w:rPr>
        <w:t>References</w:t>
      </w:r>
    </w:p>
    <w:p w14:paraId="5E0EB1B7" w14:textId="24830D05" w:rsidR="00C92E7F" w:rsidRDefault="001B6577" w:rsidP="00725939">
      <w:pPr>
        <w:rPr>
          <w:noProof/>
          <w:lang w:val="en-US"/>
        </w:rPr>
      </w:pPr>
      <w:r w:rsidRPr="001B6577">
        <w:rPr>
          <w:noProof/>
          <w:lang w:val="en-US"/>
        </w:rPr>
        <w:t>[1] European Commission, „Communication from the Commission to the European Parliament, the Council, the European Economic and Social Committee and the Committee of the Regions 'Fit for 55': delivering the EU's 2030 climate target on the way to climate neutral</w:t>
      </w:r>
      <w:r>
        <w:rPr>
          <w:noProof/>
          <w:lang w:val="en-US"/>
        </w:rPr>
        <w:t xml:space="preserve">ity, retrieved on 29.09.2021 under </w:t>
      </w:r>
      <w:r w:rsidRPr="001B6577">
        <w:rPr>
          <w:noProof/>
          <w:lang w:val="en-US"/>
        </w:rPr>
        <w:t>https://eur-lex.europa.eu/legal-content/EN/TXT/?uri=CELEX:52021DC0550</w:t>
      </w:r>
      <w:r>
        <w:rPr>
          <w:noProof/>
          <w:lang w:val="en-US"/>
        </w:rPr>
        <w:t xml:space="preserve"> (2021).</w:t>
      </w:r>
    </w:p>
    <w:p w14:paraId="52973848" w14:textId="46940A18" w:rsidR="00BC282D" w:rsidRPr="00866CFD" w:rsidRDefault="00BC282D" w:rsidP="00725939">
      <w:pPr>
        <w:rPr>
          <w:noProof/>
          <w:lang w:val="en-US"/>
        </w:rPr>
      </w:pPr>
    </w:p>
    <w:sectPr w:rsidR="00BC282D" w:rsidRPr="00866CF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3EBBC" w14:textId="77777777" w:rsidR="00184BF0" w:rsidRDefault="00184BF0">
      <w:pPr>
        <w:spacing w:after="0" w:line="240" w:lineRule="auto"/>
      </w:pPr>
      <w:r>
        <w:separator/>
      </w:r>
    </w:p>
  </w:endnote>
  <w:endnote w:type="continuationSeparator" w:id="0">
    <w:p w14:paraId="29273255" w14:textId="77777777" w:rsidR="00184BF0" w:rsidRDefault="0018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054C5" w14:textId="77777777" w:rsidR="00184BF0" w:rsidRDefault="00184BF0">
      <w:pPr>
        <w:spacing w:after="0" w:line="240" w:lineRule="auto"/>
      </w:pPr>
      <w:r>
        <w:separator/>
      </w:r>
    </w:p>
  </w:footnote>
  <w:footnote w:type="continuationSeparator" w:id="0">
    <w:p w14:paraId="03514448" w14:textId="77777777" w:rsidR="00184BF0" w:rsidRDefault="00184BF0">
      <w:pPr>
        <w:spacing w:after="0" w:line="240" w:lineRule="auto"/>
      </w:pPr>
      <w:r>
        <w:continuationSeparator/>
      </w:r>
    </w:p>
  </w:footnote>
  <w:footnote w:id="1">
    <w:p w14:paraId="7EBE7FAF" w14:textId="415EE410" w:rsidR="00E45528" w:rsidRPr="0097280D" w:rsidRDefault="00E45528" w:rsidP="00C75E8F">
      <w:pPr>
        <w:pStyle w:val="Funotentext"/>
        <w:ind w:left="284" w:hanging="284"/>
        <w:jc w:val="left"/>
      </w:pPr>
      <w:r>
        <w:rPr>
          <w:rStyle w:val="Funotenzeichen"/>
        </w:rPr>
        <w:footnoteRef/>
      </w:r>
      <w:r>
        <w:t>Institut für Energiesysteme und Elektrische Antriebe / Technische Universität Wien (TU-Wien),</w:t>
      </w:r>
      <w:r w:rsidR="00C75E8F">
        <w:t xml:space="preserve"> Energy Economics Group (EEG), </w:t>
      </w:r>
      <w:hyperlink r:id="rId1" w:history="1">
        <w:r w:rsidR="0066023F" w:rsidRPr="00907729">
          <w:rPr>
            <w:rStyle w:val="Hyperlink"/>
          </w:rPr>
          <w:t>zwickl@eeg.tuwien.ac.at</w:t>
        </w:r>
      </w:hyperlink>
    </w:p>
  </w:footnote>
  <w:footnote w:id="2">
    <w:p w14:paraId="6EE5F9E5" w14:textId="1F56206E" w:rsidR="00A36CBB" w:rsidRPr="00A36CBB" w:rsidRDefault="005206AC">
      <w:pPr>
        <w:pStyle w:val="Funotentext"/>
        <w:rPr>
          <w:lang w:val="en-US"/>
        </w:rPr>
      </w:pPr>
      <w:r w:rsidRPr="005206AC">
        <w:rPr>
          <w:rStyle w:val="Funotenzeichen"/>
          <w:lang w:val="en-US"/>
        </w:rPr>
        <w:t>*</w:t>
      </w:r>
      <w:r w:rsidR="00C75E8F" w:rsidRPr="00A36CBB">
        <w:rPr>
          <w:lang w:val="en-US"/>
        </w:rPr>
        <w:t xml:space="preserve"> </w:t>
      </w:r>
      <w:r w:rsidR="00A36CBB" w:rsidRPr="00A36CBB">
        <w:rPr>
          <w:lang w:val="en-US"/>
        </w:rPr>
        <w:t>This contribution will be presented by Hans Auer (</w:t>
      </w:r>
      <w:hyperlink r:id="rId2" w:history="1">
        <w:r w:rsidR="00A36CBB" w:rsidRPr="00907729">
          <w:rPr>
            <w:rStyle w:val="Hyperlink"/>
            <w:lang w:val="en-US"/>
          </w:rPr>
          <w:t>auer@eeg.tuwien.ac.at</w:t>
        </w:r>
      </w:hyperlink>
      <w:r w:rsidR="00A36CBB" w:rsidRPr="00A36CB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DB2A" w14:textId="0E85CAC4" w:rsidR="00E97C16" w:rsidRPr="00E97C16" w:rsidRDefault="00E97C16" w:rsidP="00E97C16">
    <w:pPr>
      <w:pStyle w:val="Kopfzeile"/>
      <w:tabs>
        <w:tab w:val="right" w:pos="9000"/>
      </w:tabs>
      <w:rPr>
        <w:u w:val="single"/>
      </w:rPr>
    </w:pPr>
    <w:r>
      <w:rPr>
        <w:u w:val="single"/>
      </w:rPr>
      <w:t>1</w:t>
    </w:r>
    <w:r w:rsidR="00051F96">
      <w:rPr>
        <w:u w:val="single"/>
      </w:rPr>
      <w:t>7</w:t>
    </w:r>
    <w:r w:rsidRPr="0035186B">
      <w:rPr>
        <w:u w:val="single"/>
      </w:rPr>
      <w:t>.</w:t>
    </w:r>
    <w:r>
      <w:rPr>
        <w:u w:val="single"/>
      </w:rPr>
      <w:t xml:space="preserve"> Symposium Energieinnovation, </w:t>
    </w:r>
    <w:r w:rsidR="00051F96">
      <w:rPr>
        <w:u w:val="single"/>
      </w:rPr>
      <w:t>Februar 2022</w:t>
    </w:r>
    <w:r w:rsidRPr="0035186B">
      <w:rPr>
        <w:u w:val="single"/>
      </w:rPr>
      <w:t>, Graz/Austria</w:t>
    </w:r>
    <w:r w:rsidRPr="0035186B">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06DC"/>
    <w:multiLevelType w:val="hybridMultilevel"/>
    <w:tmpl w:val="CF6C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A0215"/>
    <w:multiLevelType w:val="hybridMultilevel"/>
    <w:tmpl w:val="0BA6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47119"/>
    <w:multiLevelType w:val="hybridMultilevel"/>
    <w:tmpl w:val="47C81F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Lucida Grand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ucida Grand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ucida Grand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621AFF"/>
    <w:multiLevelType w:val="multilevel"/>
    <w:tmpl w:val="47C81FA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F17C66"/>
    <w:multiLevelType w:val="hybridMultilevel"/>
    <w:tmpl w:val="20C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B2ED5"/>
    <w:multiLevelType w:val="hybridMultilevel"/>
    <w:tmpl w:val="C03C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16"/>
    <w:rsid w:val="00005CEE"/>
    <w:rsid w:val="00025C41"/>
    <w:rsid w:val="00051F96"/>
    <w:rsid w:val="00052332"/>
    <w:rsid w:val="0006282C"/>
    <w:rsid w:val="000652F6"/>
    <w:rsid w:val="00094082"/>
    <w:rsid w:val="000976D1"/>
    <w:rsid w:val="000A0880"/>
    <w:rsid w:val="000A5F96"/>
    <w:rsid w:val="000E0542"/>
    <w:rsid w:val="000F302F"/>
    <w:rsid w:val="00132B57"/>
    <w:rsid w:val="00184BF0"/>
    <w:rsid w:val="00191420"/>
    <w:rsid w:val="001B089D"/>
    <w:rsid w:val="001B6577"/>
    <w:rsid w:val="001D3A69"/>
    <w:rsid w:val="001E592C"/>
    <w:rsid w:val="001F6027"/>
    <w:rsid w:val="001F61EC"/>
    <w:rsid w:val="0020055D"/>
    <w:rsid w:val="00207147"/>
    <w:rsid w:val="002073CB"/>
    <w:rsid w:val="00210C25"/>
    <w:rsid w:val="002132DE"/>
    <w:rsid w:val="00224F4E"/>
    <w:rsid w:val="00227678"/>
    <w:rsid w:val="00280D3C"/>
    <w:rsid w:val="0028127E"/>
    <w:rsid w:val="00284E69"/>
    <w:rsid w:val="00285A85"/>
    <w:rsid w:val="0028650B"/>
    <w:rsid w:val="002907BF"/>
    <w:rsid w:val="002A0CD0"/>
    <w:rsid w:val="002A7356"/>
    <w:rsid w:val="002B2BB3"/>
    <w:rsid w:val="002B54A5"/>
    <w:rsid w:val="002D524C"/>
    <w:rsid w:val="002F75D4"/>
    <w:rsid w:val="003061CE"/>
    <w:rsid w:val="00306AD1"/>
    <w:rsid w:val="003133BF"/>
    <w:rsid w:val="00324C5E"/>
    <w:rsid w:val="00342A36"/>
    <w:rsid w:val="003473C7"/>
    <w:rsid w:val="00354318"/>
    <w:rsid w:val="003543B3"/>
    <w:rsid w:val="00365F17"/>
    <w:rsid w:val="00367D4B"/>
    <w:rsid w:val="00376770"/>
    <w:rsid w:val="00376C06"/>
    <w:rsid w:val="00383811"/>
    <w:rsid w:val="0039293F"/>
    <w:rsid w:val="003B3205"/>
    <w:rsid w:val="003B4C88"/>
    <w:rsid w:val="003B579E"/>
    <w:rsid w:val="003B6B2E"/>
    <w:rsid w:val="003D45AB"/>
    <w:rsid w:val="003D7A8E"/>
    <w:rsid w:val="00400EEA"/>
    <w:rsid w:val="00416FF4"/>
    <w:rsid w:val="004216D0"/>
    <w:rsid w:val="00434FE2"/>
    <w:rsid w:val="00444E4D"/>
    <w:rsid w:val="0048658E"/>
    <w:rsid w:val="004A5DBF"/>
    <w:rsid w:val="004B7732"/>
    <w:rsid w:val="004D0CDA"/>
    <w:rsid w:val="004D51C5"/>
    <w:rsid w:val="004F6B4C"/>
    <w:rsid w:val="00506DC6"/>
    <w:rsid w:val="005145CF"/>
    <w:rsid w:val="00516DAD"/>
    <w:rsid w:val="00517942"/>
    <w:rsid w:val="005205BC"/>
    <w:rsid w:val="005206AC"/>
    <w:rsid w:val="00520BC1"/>
    <w:rsid w:val="00525F95"/>
    <w:rsid w:val="0054294B"/>
    <w:rsid w:val="00555A6B"/>
    <w:rsid w:val="005731BC"/>
    <w:rsid w:val="00577106"/>
    <w:rsid w:val="005804C8"/>
    <w:rsid w:val="005B11B0"/>
    <w:rsid w:val="005B3F68"/>
    <w:rsid w:val="005C7204"/>
    <w:rsid w:val="005F31D4"/>
    <w:rsid w:val="005F4B3D"/>
    <w:rsid w:val="005F620C"/>
    <w:rsid w:val="0061319A"/>
    <w:rsid w:val="00621B6D"/>
    <w:rsid w:val="00626F45"/>
    <w:rsid w:val="006514C7"/>
    <w:rsid w:val="00654EC4"/>
    <w:rsid w:val="0066023F"/>
    <w:rsid w:val="00662026"/>
    <w:rsid w:val="0067440F"/>
    <w:rsid w:val="00677792"/>
    <w:rsid w:val="00680065"/>
    <w:rsid w:val="006A2CE9"/>
    <w:rsid w:val="006B30CB"/>
    <w:rsid w:val="006C7CE0"/>
    <w:rsid w:val="006D20F6"/>
    <w:rsid w:val="006D7D07"/>
    <w:rsid w:val="006E058A"/>
    <w:rsid w:val="006E63DF"/>
    <w:rsid w:val="007156EC"/>
    <w:rsid w:val="00725939"/>
    <w:rsid w:val="00750ADE"/>
    <w:rsid w:val="00755D6A"/>
    <w:rsid w:val="00762D1F"/>
    <w:rsid w:val="007805C7"/>
    <w:rsid w:val="00783F16"/>
    <w:rsid w:val="007861F2"/>
    <w:rsid w:val="0078663F"/>
    <w:rsid w:val="007D428A"/>
    <w:rsid w:val="007D5A6F"/>
    <w:rsid w:val="007E0B29"/>
    <w:rsid w:val="007F23C6"/>
    <w:rsid w:val="007F573A"/>
    <w:rsid w:val="00817981"/>
    <w:rsid w:val="0082119B"/>
    <w:rsid w:val="008275D4"/>
    <w:rsid w:val="00845F55"/>
    <w:rsid w:val="0084699E"/>
    <w:rsid w:val="008569DE"/>
    <w:rsid w:val="00866CFD"/>
    <w:rsid w:val="00876EEE"/>
    <w:rsid w:val="00882E1E"/>
    <w:rsid w:val="00895C95"/>
    <w:rsid w:val="008A24F0"/>
    <w:rsid w:val="008B22B9"/>
    <w:rsid w:val="008D49C7"/>
    <w:rsid w:val="008D7574"/>
    <w:rsid w:val="008E6467"/>
    <w:rsid w:val="008F4335"/>
    <w:rsid w:val="0091403D"/>
    <w:rsid w:val="009275B5"/>
    <w:rsid w:val="0093054E"/>
    <w:rsid w:val="009534B8"/>
    <w:rsid w:val="009618C8"/>
    <w:rsid w:val="00990D5E"/>
    <w:rsid w:val="009A5737"/>
    <w:rsid w:val="009B72EA"/>
    <w:rsid w:val="009C6D2C"/>
    <w:rsid w:val="009F042C"/>
    <w:rsid w:val="00A0520B"/>
    <w:rsid w:val="00A26641"/>
    <w:rsid w:val="00A36CBB"/>
    <w:rsid w:val="00A40241"/>
    <w:rsid w:val="00A4040A"/>
    <w:rsid w:val="00A461EF"/>
    <w:rsid w:val="00A710E4"/>
    <w:rsid w:val="00A72AB9"/>
    <w:rsid w:val="00A75BB4"/>
    <w:rsid w:val="00A762C8"/>
    <w:rsid w:val="00A85EB3"/>
    <w:rsid w:val="00A96944"/>
    <w:rsid w:val="00AA3D68"/>
    <w:rsid w:val="00AB3045"/>
    <w:rsid w:val="00AD0D00"/>
    <w:rsid w:val="00B05ED0"/>
    <w:rsid w:val="00B156E9"/>
    <w:rsid w:val="00B22959"/>
    <w:rsid w:val="00B32C18"/>
    <w:rsid w:val="00B332E4"/>
    <w:rsid w:val="00B45794"/>
    <w:rsid w:val="00B7214D"/>
    <w:rsid w:val="00B8079D"/>
    <w:rsid w:val="00B85D86"/>
    <w:rsid w:val="00B9490D"/>
    <w:rsid w:val="00BA5640"/>
    <w:rsid w:val="00BB1748"/>
    <w:rsid w:val="00BC282D"/>
    <w:rsid w:val="00BC7320"/>
    <w:rsid w:val="00BD4B5D"/>
    <w:rsid w:val="00BE01A3"/>
    <w:rsid w:val="00BF55D9"/>
    <w:rsid w:val="00C04CB9"/>
    <w:rsid w:val="00C06C06"/>
    <w:rsid w:val="00C07212"/>
    <w:rsid w:val="00C26621"/>
    <w:rsid w:val="00C321FD"/>
    <w:rsid w:val="00C4580B"/>
    <w:rsid w:val="00C6760F"/>
    <w:rsid w:val="00C75E8F"/>
    <w:rsid w:val="00C762C8"/>
    <w:rsid w:val="00C92E7F"/>
    <w:rsid w:val="00C93BA8"/>
    <w:rsid w:val="00CA7837"/>
    <w:rsid w:val="00CB0AD7"/>
    <w:rsid w:val="00CB17CE"/>
    <w:rsid w:val="00CC28EB"/>
    <w:rsid w:val="00CC5EC9"/>
    <w:rsid w:val="00D0202D"/>
    <w:rsid w:val="00D177B6"/>
    <w:rsid w:val="00D21777"/>
    <w:rsid w:val="00D5105B"/>
    <w:rsid w:val="00D53BE5"/>
    <w:rsid w:val="00D60C8F"/>
    <w:rsid w:val="00D62863"/>
    <w:rsid w:val="00D700A5"/>
    <w:rsid w:val="00DA77D8"/>
    <w:rsid w:val="00DB511B"/>
    <w:rsid w:val="00DD12B5"/>
    <w:rsid w:val="00DE0C78"/>
    <w:rsid w:val="00E17741"/>
    <w:rsid w:val="00E2596F"/>
    <w:rsid w:val="00E415EA"/>
    <w:rsid w:val="00E42BFC"/>
    <w:rsid w:val="00E45528"/>
    <w:rsid w:val="00E70F85"/>
    <w:rsid w:val="00E71EB4"/>
    <w:rsid w:val="00E75E38"/>
    <w:rsid w:val="00E97C16"/>
    <w:rsid w:val="00EB0F30"/>
    <w:rsid w:val="00EB4262"/>
    <w:rsid w:val="00ED542C"/>
    <w:rsid w:val="00ED603C"/>
    <w:rsid w:val="00EE1CBE"/>
    <w:rsid w:val="00EF3596"/>
    <w:rsid w:val="00F24F8D"/>
    <w:rsid w:val="00F33663"/>
    <w:rsid w:val="00F8579B"/>
    <w:rsid w:val="00F87D7F"/>
    <w:rsid w:val="00FA20B7"/>
    <w:rsid w:val="00FA62EB"/>
    <w:rsid w:val="00FB2872"/>
    <w:rsid w:val="00FC710A"/>
    <w:rsid w:val="00FF0C55"/>
    <w:rsid w:val="00FF2FC1"/>
    <w:rsid w:val="00FF729A"/>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BF700A"/>
  <w14:defaultImageDpi w14:val="300"/>
  <w15:docId w15:val="{8A420FED-84AA-474A-B4C3-DEB61C3F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0B55"/>
    <w:pPr>
      <w:spacing w:after="120" w:line="264" w:lineRule="auto"/>
      <w:jc w:val="both"/>
    </w:pPr>
    <w:rPr>
      <w:rFonts w:ascii="Arial" w:hAnsi="Arial"/>
      <w:szCs w:val="24"/>
    </w:rPr>
  </w:style>
  <w:style w:type="paragraph" w:styleId="berschrift1">
    <w:name w:val="heading 1"/>
    <w:basedOn w:val="Standard"/>
    <w:next w:val="Standard"/>
    <w:link w:val="berschrift1Zchn"/>
    <w:uiPriority w:val="9"/>
    <w:qFormat/>
    <w:rsid w:val="00EF0B55"/>
    <w:pPr>
      <w:keepNext/>
      <w:spacing w:before="240" w:after="60"/>
      <w:outlineLvl w:val="0"/>
    </w:pPr>
    <w:rPr>
      <w:rFonts w:cs="Arial"/>
      <w:b/>
      <w:bCs/>
      <w:kern w:val="32"/>
      <w:sz w:val="24"/>
      <w:szCs w:val="32"/>
    </w:rPr>
  </w:style>
  <w:style w:type="paragraph" w:styleId="berschrift2">
    <w:name w:val="heading 2"/>
    <w:basedOn w:val="Standard"/>
    <w:next w:val="Standard"/>
    <w:qFormat/>
    <w:rsid w:val="00EF0B55"/>
    <w:pPr>
      <w:keepNext/>
      <w:spacing w:before="240" w:after="60"/>
      <w:outlineLvl w:val="1"/>
    </w:pPr>
    <w:rPr>
      <w:rFonts w:cs="Arial"/>
      <w:b/>
      <w:bCs/>
      <w:i/>
      <w:iCs/>
      <w:szCs w:val="28"/>
    </w:rPr>
  </w:style>
  <w:style w:type="paragraph" w:styleId="berschrift3">
    <w:name w:val="heading 3"/>
    <w:basedOn w:val="Standard"/>
    <w:next w:val="Standard"/>
    <w:qFormat/>
    <w:rsid w:val="001A0C69"/>
    <w:pPr>
      <w:keepNext/>
      <w:spacing w:before="240" w:after="60"/>
      <w:outlineLvl w:val="2"/>
    </w:pPr>
    <w:rPr>
      <w:rFonts w:cs="Arial"/>
      <w:b/>
      <w:bCs/>
      <w:sz w:val="2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
    <w:name w:val="TITEL"/>
    <w:rsid w:val="00EF0B55"/>
    <w:pPr>
      <w:spacing w:after="240"/>
      <w:jc w:val="center"/>
    </w:pPr>
    <w:rPr>
      <w:rFonts w:ascii="Arial" w:hAnsi="Arial" w:cs="Arial"/>
      <w:b/>
      <w:bCs/>
      <w:kern w:val="32"/>
      <w:sz w:val="36"/>
      <w:szCs w:val="32"/>
    </w:rPr>
  </w:style>
  <w:style w:type="paragraph" w:customStyle="1" w:styleId="Autoren">
    <w:name w:val="Autoren"/>
    <w:basedOn w:val="Standard"/>
    <w:rsid w:val="00EF0B55"/>
    <w:pPr>
      <w:jc w:val="center"/>
    </w:pPr>
    <w:rPr>
      <w:b/>
      <w:sz w:val="24"/>
    </w:rPr>
  </w:style>
  <w:style w:type="paragraph" w:customStyle="1" w:styleId="Institution">
    <w:name w:val="Institution"/>
    <w:basedOn w:val="Standard"/>
    <w:rsid w:val="00EF0B55"/>
    <w:pPr>
      <w:spacing w:before="60" w:after="240" w:line="240" w:lineRule="auto"/>
      <w:jc w:val="center"/>
    </w:pPr>
    <w:rPr>
      <w:sz w:val="24"/>
    </w:rPr>
  </w:style>
  <w:style w:type="paragraph" w:styleId="Funotentext">
    <w:name w:val="footnote text"/>
    <w:basedOn w:val="Standard"/>
    <w:link w:val="FunotentextZchn"/>
    <w:semiHidden/>
    <w:rsid w:val="0097280D"/>
    <w:pPr>
      <w:tabs>
        <w:tab w:val="left" w:pos="284"/>
      </w:tabs>
      <w:spacing w:after="0" w:line="240" w:lineRule="auto"/>
    </w:pPr>
    <w:rPr>
      <w:szCs w:val="20"/>
    </w:rPr>
  </w:style>
  <w:style w:type="character" w:styleId="Funotenzeichen">
    <w:name w:val="footnote reference"/>
    <w:basedOn w:val="Absatz-Standardschriftart"/>
    <w:semiHidden/>
    <w:rsid w:val="001A0C69"/>
    <w:rPr>
      <w:vertAlign w:val="superscript"/>
    </w:rPr>
  </w:style>
  <w:style w:type="paragraph" w:styleId="Dokumentstruktur">
    <w:name w:val="Document Map"/>
    <w:basedOn w:val="Standard"/>
    <w:semiHidden/>
    <w:rsid w:val="00EF0B55"/>
    <w:pPr>
      <w:shd w:val="clear" w:color="auto" w:fill="C6D5EC"/>
    </w:pPr>
    <w:rPr>
      <w:rFonts w:ascii="Lucida Grande" w:hAnsi="Lucida Grande"/>
      <w:sz w:val="24"/>
    </w:rPr>
  </w:style>
  <w:style w:type="paragraph" w:styleId="Kopfzeile">
    <w:name w:val="header"/>
    <w:basedOn w:val="Standard"/>
    <w:link w:val="KopfzeileZchn"/>
    <w:uiPriority w:val="99"/>
    <w:unhideWhenUsed/>
    <w:rsid w:val="00E9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7C16"/>
    <w:rPr>
      <w:rFonts w:ascii="Arial" w:hAnsi="Arial"/>
      <w:szCs w:val="24"/>
    </w:rPr>
  </w:style>
  <w:style w:type="paragraph" w:styleId="Fuzeile">
    <w:name w:val="footer"/>
    <w:basedOn w:val="Standard"/>
    <w:link w:val="FuzeileZchn"/>
    <w:uiPriority w:val="99"/>
    <w:unhideWhenUsed/>
    <w:rsid w:val="00E9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7C16"/>
    <w:rPr>
      <w:rFonts w:ascii="Arial" w:hAnsi="Arial"/>
      <w:szCs w:val="24"/>
    </w:rPr>
  </w:style>
  <w:style w:type="paragraph" w:styleId="Sprechblasentext">
    <w:name w:val="Balloon Text"/>
    <w:basedOn w:val="Standard"/>
    <w:link w:val="SprechblasentextZchn"/>
    <w:uiPriority w:val="99"/>
    <w:semiHidden/>
    <w:unhideWhenUsed/>
    <w:rsid w:val="006C7C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7CE0"/>
    <w:rPr>
      <w:rFonts w:ascii="Tahoma" w:hAnsi="Tahoma" w:cs="Tahoma"/>
      <w:sz w:val="16"/>
      <w:szCs w:val="16"/>
    </w:rPr>
  </w:style>
  <w:style w:type="paragraph" w:styleId="Listenabsatz">
    <w:name w:val="List Paragraph"/>
    <w:basedOn w:val="Standard"/>
    <w:uiPriority w:val="34"/>
    <w:qFormat/>
    <w:rsid w:val="001E592C"/>
    <w:pPr>
      <w:ind w:left="720"/>
      <w:contextualSpacing/>
    </w:pPr>
  </w:style>
  <w:style w:type="paragraph" w:styleId="Beschriftung">
    <w:name w:val="caption"/>
    <w:basedOn w:val="Standard"/>
    <w:next w:val="Standard"/>
    <w:uiPriority w:val="35"/>
    <w:unhideWhenUsed/>
    <w:qFormat/>
    <w:rsid w:val="004D0CDA"/>
    <w:pPr>
      <w:spacing w:after="200" w:line="240" w:lineRule="auto"/>
    </w:pPr>
    <w:rPr>
      <w:i/>
      <w:iCs/>
      <w:color w:val="1F497D" w:themeColor="text2"/>
      <w:sz w:val="18"/>
      <w:szCs w:val="18"/>
    </w:rPr>
  </w:style>
  <w:style w:type="character" w:customStyle="1" w:styleId="berschrift1Zchn">
    <w:name w:val="Überschrift 1 Zchn"/>
    <w:basedOn w:val="Absatz-Standardschriftart"/>
    <w:link w:val="berschrift1"/>
    <w:uiPriority w:val="9"/>
    <w:rsid w:val="001B6577"/>
    <w:rPr>
      <w:rFonts w:ascii="Arial" w:hAnsi="Arial" w:cs="Arial"/>
      <w:b/>
      <w:bCs/>
      <w:kern w:val="32"/>
      <w:sz w:val="24"/>
      <w:szCs w:val="32"/>
    </w:rPr>
  </w:style>
  <w:style w:type="paragraph" w:styleId="Literaturverzeichnis">
    <w:name w:val="Bibliography"/>
    <w:basedOn w:val="Standard"/>
    <w:next w:val="Standard"/>
    <w:uiPriority w:val="37"/>
    <w:unhideWhenUsed/>
    <w:rsid w:val="001B6577"/>
  </w:style>
  <w:style w:type="character" w:styleId="Hyperlink">
    <w:name w:val="Hyperlink"/>
    <w:basedOn w:val="Absatz-Standardschriftart"/>
    <w:uiPriority w:val="99"/>
    <w:unhideWhenUsed/>
    <w:rsid w:val="001B6577"/>
    <w:rPr>
      <w:color w:val="0000FF" w:themeColor="hyperlink"/>
      <w:u w:val="single"/>
    </w:rPr>
  </w:style>
  <w:style w:type="character" w:styleId="Platzhaltertext">
    <w:name w:val="Placeholder Text"/>
    <w:basedOn w:val="Absatz-Standardschriftart"/>
    <w:uiPriority w:val="99"/>
    <w:semiHidden/>
    <w:rsid w:val="008D7574"/>
    <w:rPr>
      <w:color w:val="808080"/>
    </w:rPr>
  </w:style>
  <w:style w:type="table" w:styleId="Tabellenraster">
    <w:name w:val="Table Grid"/>
    <w:basedOn w:val="NormaleTabelle"/>
    <w:uiPriority w:val="59"/>
    <w:rsid w:val="008D7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notentextZchn">
    <w:name w:val="Fußnotentext Zchn"/>
    <w:basedOn w:val="Absatz-Standardschriftart"/>
    <w:link w:val="Funotentext"/>
    <w:semiHidden/>
    <w:rsid w:val="00E4552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29061">
      <w:bodyDiv w:val="1"/>
      <w:marLeft w:val="0"/>
      <w:marRight w:val="0"/>
      <w:marTop w:val="0"/>
      <w:marBottom w:val="0"/>
      <w:divBdr>
        <w:top w:val="none" w:sz="0" w:space="0" w:color="auto"/>
        <w:left w:val="none" w:sz="0" w:space="0" w:color="auto"/>
        <w:bottom w:val="none" w:sz="0" w:space="0" w:color="auto"/>
        <w:right w:val="none" w:sz="0" w:space="0" w:color="auto"/>
      </w:divBdr>
    </w:div>
    <w:div w:id="301154701">
      <w:bodyDiv w:val="1"/>
      <w:marLeft w:val="0"/>
      <w:marRight w:val="0"/>
      <w:marTop w:val="0"/>
      <w:marBottom w:val="0"/>
      <w:divBdr>
        <w:top w:val="none" w:sz="0" w:space="0" w:color="auto"/>
        <w:left w:val="none" w:sz="0" w:space="0" w:color="auto"/>
        <w:bottom w:val="none" w:sz="0" w:space="0" w:color="auto"/>
        <w:right w:val="none" w:sz="0" w:space="0" w:color="auto"/>
      </w:divBdr>
    </w:div>
    <w:div w:id="513223835">
      <w:bodyDiv w:val="1"/>
      <w:marLeft w:val="0"/>
      <w:marRight w:val="0"/>
      <w:marTop w:val="0"/>
      <w:marBottom w:val="0"/>
      <w:divBdr>
        <w:top w:val="none" w:sz="0" w:space="0" w:color="auto"/>
        <w:left w:val="none" w:sz="0" w:space="0" w:color="auto"/>
        <w:bottom w:val="none" w:sz="0" w:space="0" w:color="auto"/>
        <w:right w:val="none" w:sz="0" w:space="0" w:color="auto"/>
      </w:divBdr>
    </w:div>
    <w:div w:id="601189561">
      <w:bodyDiv w:val="1"/>
      <w:marLeft w:val="0"/>
      <w:marRight w:val="0"/>
      <w:marTop w:val="0"/>
      <w:marBottom w:val="0"/>
      <w:divBdr>
        <w:top w:val="none" w:sz="0" w:space="0" w:color="auto"/>
        <w:left w:val="none" w:sz="0" w:space="0" w:color="auto"/>
        <w:bottom w:val="none" w:sz="0" w:space="0" w:color="auto"/>
        <w:right w:val="none" w:sz="0" w:space="0" w:color="auto"/>
      </w:divBdr>
    </w:div>
    <w:div w:id="613950464">
      <w:bodyDiv w:val="1"/>
      <w:marLeft w:val="0"/>
      <w:marRight w:val="0"/>
      <w:marTop w:val="0"/>
      <w:marBottom w:val="0"/>
      <w:divBdr>
        <w:top w:val="none" w:sz="0" w:space="0" w:color="auto"/>
        <w:left w:val="none" w:sz="0" w:space="0" w:color="auto"/>
        <w:bottom w:val="none" w:sz="0" w:space="0" w:color="auto"/>
        <w:right w:val="none" w:sz="0" w:space="0" w:color="auto"/>
      </w:divBdr>
    </w:div>
    <w:div w:id="968898423">
      <w:bodyDiv w:val="1"/>
      <w:marLeft w:val="0"/>
      <w:marRight w:val="0"/>
      <w:marTop w:val="0"/>
      <w:marBottom w:val="0"/>
      <w:divBdr>
        <w:top w:val="none" w:sz="0" w:space="0" w:color="auto"/>
        <w:left w:val="none" w:sz="0" w:space="0" w:color="auto"/>
        <w:bottom w:val="none" w:sz="0" w:space="0" w:color="auto"/>
        <w:right w:val="none" w:sz="0" w:space="0" w:color="auto"/>
      </w:divBdr>
    </w:div>
    <w:div w:id="974288701">
      <w:bodyDiv w:val="1"/>
      <w:marLeft w:val="0"/>
      <w:marRight w:val="0"/>
      <w:marTop w:val="0"/>
      <w:marBottom w:val="0"/>
      <w:divBdr>
        <w:top w:val="none" w:sz="0" w:space="0" w:color="auto"/>
        <w:left w:val="none" w:sz="0" w:space="0" w:color="auto"/>
        <w:bottom w:val="none" w:sz="0" w:space="0" w:color="auto"/>
        <w:right w:val="none" w:sz="0" w:space="0" w:color="auto"/>
      </w:divBdr>
    </w:div>
    <w:div w:id="1000499099">
      <w:bodyDiv w:val="1"/>
      <w:marLeft w:val="0"/>
      <w:marRight w:val="0"/>
      <w:marTop w:val="0"/>
      <w:marBottom w:val="0"/>
      <w:divBdr>
        <w:top w:val="none" w:sz="0" w:space="0" w:color="auto"/>
        <w:left w:val="none" w:sz="0" w:space="0" w:color="auto"/>
        <w:bottom w:val="none" w:sz="0" w:space="0" w:color="auto"/>
        <w:right w:val="none" w:sz="0" w:space="0" w:color="auto"/>
      </w:divBdr>
    </w:div>
    <w:div w:id="1364987165">
      <w:bodyDiv w:val="1"/>
      <w:marLeft w:val="0"/>
      <w:marRight w:val="0"/>
      <w:marTop w:val="0"/>
      <w:marBottom w:val="0"/>
      <w:divBdr>
        <w:top w:val="none" w:sz="0" w:space="0" w:color="auto"/>
        <w:left w:val="none" w:sz="0" w:space="0" w:color="auto"/>
        <w:bottom w:val="none" w:sz="0" w:space="0" w:color="auto"/>
        <w:right w:val="none" w:sz="0" w:space="0" w:color="auto"/>
      </w:divBdr>
    </w:div>
    <w:div w:id="186628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auer@eeg.tuwien.ac.at" TargetMode="External"/><Relationship Id="rId1" Type="http://schemas.openxmlformats.org/officeDocument/2006/relationships/hyperlink" Target="mailto:zwickl@eeg.tuwien.ac.a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Platzhalter1</b:Tag>
    <b:SourceType>DocumentFromInternetSite</b:SourceType>
    <b:Guid>{B9A8FB76-0C33-4B51-8888-0A86F1DCCD6F}</b:Guid>
    <b:Title>Communication from the Commission to the European Parliament, the Council, the European Economic and Social Committee and the Committee of the Regions 'Fit for 55': delivering the EU's 2030 climate target on the way to climate neutrality</b:Title>
    <b:Year>2021</b:Year>
    <b:Author>
      <b:Author>
        <b:Corporate>European Commission</b:Corporate>
      </b:Author>
    </b:Author>
    <b:URL>https://eur-lex.europa.eu/legal-content/EN/TXT/?uri=CELEX:52021DC0550</b:URL>
    <b:RefOrder>1</b:RefOrder>
  </b:Source>
</b:Sources>
</file>

<file path=customXml/itemProps1.xml><?xml version="1.0" encoding="utf-8"?>
<ds:datastoreItem xmlns:ds="http://schemas.openxmlformats.org/officeDocument/2006/customXml" ds:itemID="{4B05306D-ED94-4AF3-B2E9-3782FE65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Bezeichnung des Vortrags</vt:lpstr>
      <vt:lpstr>Titel, Bezeichnung des Vortrags</vt:lpstr>
    </vt:vector>
  </TitlesOfParts>
  <Company>TUGRAZ</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Bezeichnung des Vortrags</dc:title>
  <dc:creator>huber</dc:creator>
  <cp:lastModifiedBy>zwickl-nb</cp:lastModifiedBy>
  <cp:revision>141</cp:revision>
  <cp:lastPrinted>2017-12-01T14:02:00Z</cp:lastPrinted>
  <dcterms:created xsi:type="dcterms:W3CDTF">2017-12-01T14:04:00Z</dcterms:created>
  <dcterms:modified xsi:type="dcterms:W3CDTF">2021-10-27T12:59:00Z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-1084554629</vt:i4>
  </property>
  <property fmtid="{D5CDD505-2E9C-101B-9397-08002B2CF9AE}" pid="3" name="_EmailSubject">
    <vt:lpwstr>Abstractvorlage.doc</vt:lpwstr>
  </property>
  <property fmtid="{D5CDD505-2E9C-101B-9397-08002B2CF9AE}" pid="4" name="_AuthorEmail">
    <vt:lpwstr>christoph.hubeR@tugraz.at</vt:lpwstr>
  </property>
  <property fmtid="{D5CDD505-2E9C-101B-9397-08002B2CF9AE}" pid="5" name="_AuthorEmailDisplayName">
    <vt:lpwstr>Christoph Huber</vt:lpwstr>
  </property>
  <property fmtid="{D5CDD505-2E9C-101B-9397-08002B2CF9AE}" pid="6" name="_ReviewingToolsShownOnce">
    <vt:lpwstr/>
  </property>
</Properties>
</file>