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B73B" w14:textId="225BCE68" w:rsidR="003E4A9D" w:rsidRPr="007D31BE" w:rsidRDefault="000D2F5E" w:rsidP="007D31BE">
      <w:pPr>
        <w:rPr>
          <w:b/>
          <w:bCs/>
          <w:lang w:val="de-AT"/>
        </w:rPr>
      </w:pPr>
      <w:r w:rsidRPr="007D31BE">
        <w:rPr>
          <w:b/>
          <w:bCs/>
          <w:lang w:val="de-AT"/>
        </w:rPr>
        <w:t xml:space="preserve">Questions </w:t>
      </w:r>
      <w:proofErr w:type="spellStart"/>
      <w:r w:rsidRPr="007D31BE">
        <w:rPr>
          <w:b/>
          <w:bCs/>
          <w:lang w:val="de-AT"/>
        </w:rPr>
        <w:t>about</w:t>
      </w:r>
      <w:proofErr w:type="spellEnd"/>
      <w:r w:rsidRPr="007D31BE">
        <w:rPr>
          <w:b/>
          <w:bCs/>
          <w:lang w:val="de-AT"/>
        </w:rPr>
        <w:t xml:space="preserve"> </w:t>
      </w:r>
      <w:proofErr w:type="spellStart"/>
      <w:r w:rsidRPr="007D31BE">
        <w:rPr>
          <w:b/>
          <w:bCs/>
          <w:lang w:val="de-AT"/>
        </w:rPr>
        <w:t>the</w:t>
      </w:r>
      <w:proofErr w:type="spellEnd"/>
      <w:r w:rsidRPr="007D31BE">
        <w:rPr>
          <w:b/>
          <w:bCs/>
          <w:lang w:val="de-AT"/>
        </w:rPr>
        <w:t xml:space="preserve"> </w:t>
      </w:r>
      <w:proofErr w:type="spellStart"/>
      <w:r w:rsidRPr="007D31BE">
        <w:rPr>
          <w:b/>
          <w:bCs/>
          <w:lang w:val="de-AT"/>
        </w:rPr>
        <w:t>data</w:t>
      </w:r>
      <w:proofErr w:type="spellEnd"/>
      <w:r w:rsidRPr="007D31BE">
        <w:rPr>
          <w:b/>
          <w:bCs/>
          <w:lang w:val="de-AT"/>
        </w:rPr>
        <w:t>:</w:t>
      </w:r>
    </w:p>
    <w:p w14:paraId="370A1E5C" w14:textId="77777777" w:rsidR="007D31BE" w:rsidRPr="007D31BE" w:rsidRDefault="007D31BE" w:rsidP="007D31BE">
      <w:pPr>
        <w:pStyle w:val="Listenabsatz"/>
        <w:ind w:left="284"/>
        <w:rPr>
          <w:lang w:val="de-AT"/>
        </w:rPr>
      </w:pPr>
    </w:p>
    <w:p w14:paraId="629F791E" w14:textId="41ADB7EE" w:rsidR="000D2F5E" w:rsidRPr="00854396" w:rsidRDefault="000D2F5E" w:rsidP="000D2F5E">
      <w:pPr>
        <w:pStyle w:val="Listenabsatz"/>
        <w:numPr>
          <w:ilvl w:val="0"/>
          <w:numId w:val="1"/>
        </w:numPr>
        <w:rPr>
          <w:color w:val="FFFFFF" w:themeColor="background1"/>
          <w:highlight w:val="green"/>
        </w:rPr>
      </w:pPr>
      <w:r w:rsidRPr="00854396">
        <w:rPr>
          <w:highlight w:val="green"/>
        </w:rPr>
        <w:t xml:space="preserve">Calculating the average diesel consumption in L/kWh, the values significantly vary and do not correlate with the operation time </w:t>
      </w:r>
      <w:r w:rsidRPr="00854396">
        <w:rPr>
          <w:highlight w:val="green"/>
        </w:rPr>
        <w:sym w:font="Wingdings" w:char="F0E8"/>
      </w:r>
      <w:r w:rsidRPr="00854396">
        <w:rPr>
          <w:highlight w:val="green"/>
        </w:rPr>
        <w:t xml:space="preserve"> </w:t>
      </w:r>
      <w:r w:rsidRPr="00854396">
        <w:rPr>
          <w:color w:val="FFFFFF" w:themeColor="background1"/>
          <w:highlight w:val="green"/>
        </w:rPr>
        <w:t>Any explanation for this?</w:t>
      </w:r>
    </w:p>
    <w:p w14:paraId="4022628C" w14:textId="3BA0FEED" w:rsidR="000D2F5E" w:rsidRDefault="000D2F5E" w:rsidP="000D2F5E">
      <w:pPr>
        <w:jc w:val="center"/>
      </w:pPr>
      <w:r>
        <w:rPr>
          <w:noProof/>
        </w:rPr>
        <w:drawing>
          <wp:inline distT="0" distB="0" distL="0" distR="0" wp14:anchorId="345D3564" wp14:editId="5B5190A6">
            <wp:extent cx="4572000" cy="2743200"/>
            <wp:effectExtent l="0" t="0" r="0" b="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181FA802-83C2-4854-B84E-3974F90911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A609314" w14:textId="3DD26B9D" w:rsidR="000D2F5E" w:rsidRDefault="000D2F5E" w:rsidP="000D2F5E">
      <w:pPr>
        <w:jc w:val="center"/>
      </w:pPr>
    </w:p>
    <w:p w14:paraId="4C772C3E" w14:textId="47EFA478" w:rsidR="000D2F5E" w:rsidRPr="00854396" w:rsidRDefault="000D2F5E" w:rsidP="000D2F5E">
      <w:pPr>
        <w:pStyle w:val="Listenabsatz"/>
        <w:numPr>
          <w:ilvl w:val="0"/>
          <w:numId w:val="1"/>
        </w:numPr>
        <w:rPr>
          <w:highlight w:val="green"/>
        </w:rPr>
      </w:pPr>
      <w:r w:rsidRPr="00854396">
        <w:rPr>
          <w:highlight w:val="green"/>
        </w:rPr>
        <w:t>There are two columns named (1) “Selling Price (LBP/</w:t>
      </w:r>
      <w:proofErr w:type="spellStart"/>
      <w:r w:rsidRPr="00854396">
        <w:rPr>
          <w:highlight w:val="green"/>
        </w:rPr>
        <w:t>KWh</w:t>
      </w:r>
      <w:proofErr w:type="spellEnd"/>
      <w:r w:rsidRPr="00854396">
        <w:rPr>
          <w:highlight w:val="green"/>
        </w:rPr>
        <w:t>)” and (2) “Selling Price ($/</w:t>
      </w:r>
      <w:proofErr w:type="spellStart"/>
      <w:r w:rsidRPr="00854396">
        <w:rPr>
          <w:highlight w:val="green"/>
        </w:rPr>
        <w:t>KWh</w:t>
      </w:r>
      <w:proofErr w:type="spellEnd"/>
      <w:r w:rsidRPr="00854396">
        <w:rPr>
          <w:highlight w:val="green"/>
        </w:rPr>
        <w:t>)”: Why are there no entries for (1) after March 2023 while there are entries for (2) for the entire observation time?</w:t>
      </w:r>
    </w:p>
    <w:p w14:paraId="4F857353" w14:textId="51A9EA77" w:rsidR="000D2F5E" w:rsidRPr="00854396" w:rsidRDefault="000D2F5E" w:rsidP="000D2F5E">
      <w:pPr>
        <w:pStyle w:val="Listenabsatz"/>
        <w:numPr>
          <w:ilvl w:val="0"/>
          <w:numId w:val="1"/>
        </w:numPr>
        <w:rPr>
          <w:highlight w:val="green"/>
        </w:rPr>
      </w:pPr>
      <w:r w:rsidRPr="00854396">
        <w:rPr>
          <w:highlight w:val="green"/>
        </w:rPr>
        <w:t xml:space="preserve">Closely related to the previous point: Are there significant differences in the results to be expected depending on if we estimate electricity demand elasticities in </w:t>
      </w:r>
      <w:r w:rsidR="00176E55" w:rsidRPr="00854396">
        <w:rPr>
          <w:highlight w:val="green"/>
        </w:rPr>
        <w:t xml:space="preserve">(LBP/kWh) and ($/kWh) because of the enormous high inflation? </w:t>
      </w:r>
      <w:r w:rsidR="00176E55" w:rsidRPr="00854396">
        <w:rPr>
          <w:highlight w:val="green"/>
        </w:rPr>
        <w:sym w:font="Wingdings" w:char="F0E8"/>
      </w:r>
      <w:r w:rsidR="00176E55" w:rsidRPr="00854396">
        <w:rPr>
          <w:highlight w:val="green"/>
        </w:rPr>
        <w:t xml:space="preserve"> From my viewpoint, it might be helpful to stick to $/kWh in the results (especially for the publication)</w:t>
      </w:r>
    </w:p>
    <w:p w14:paraId="7E94C346" w14:textId="38483BA0" w:rsidR="00176E55" w:rsidRPr="00854396" w:rsidRDefault="00176E55" w:rsidP="000D2F5E">
      <w:pPr>
        <w:pStyle w:val="Listenabsatz"/>
        <w:numPr>
          <w:ilvl w:val="0"/>
          <w:numId w:val="1"/>
        </w:numPr>
        <w:rPr>
          <w:highlight w:val="green"/>
        </w:rPr>
      </w:pPr>
      <w:r w:rsidRPr="00854396">
        <w:rPr>
          <w:highlight w:val="green"/>
        </w:rPr>
        <w:t xml:space="preserve">What exactly is meant by </w:t>
      </w:r>
      <w:r w:rsidR="00D05C84" w:rsidRPr="00854396">
        <w:rPr>
          <w:highlight w:val="green"/>
        </w:rPr>
        <w:t>“Governmental pricing ($/kWh)? Is it some sort of recommendation/benchmark for the “Selling price ($/kWh)” or is it the selling price of electricity of the public grid (which is only very limited available)?</w:t>
      </w:r>
    </w:p>
    <w:p w14:paraId="46242D89" w14:textId="77777777" w:rsidR="007D31BE" w:rsidRDefault="007D31BE" w:rsidP="007D31BE">
      <w:pPr>
        <w:pStyle w:val="Listenabsatz"/>
      </w:pPr>
    </w:p>
    <w:p w14:paraId="627080EB" w14:textId="69FA4446" w:rsidR="007D31BE" w:rsidRPr="00854396" w:rsidRDefault="007D31BE" w:rsidP="007D31BE">
      <w:pPr>
        <w:rPr>
          <w:b/>
          <w:bCs/>
          <w:highlight w:val="green"/>
        </w:rPr>
      </w:pPr>
      <w:r w:rsidRPr="00854396">
        <w:rPr>
          <w:b/>
          <w:bCs/>
          <w:highlight w:val="green"/>
        </w:rPr>
        <w:t>Additional data that might be needed:</w:t>
      </w:r>
    </w:p>
    <w:p w14:paraId="411A1755" w14:textId="3CF7F476" w:rsidR="007D31BE" w:rsidRPr="00854396" w:rsidRDefault="007D31BE" w:rsidP="007D31BE">
      <w:pPr>
        <w:pStyle w:val="Listenabsatz"/>
        <w:numPr>
          <w:ilvl w:val="0"/>
          <w:numId w:val="3"/>
        </w:numPr>
        <w:rPr>
          <w:highlight w:val="green"/>
        </w:rPr>
      </w:pPr>
      <w:r w:rsidRPr="00854396">
        <w:rPr>
          <w:highlight w:val="green"/>
        </w:rPr>
        <w:t xml:space="preserve">Do we know anything about the onsite solar photovoltaic generation within the area? Here I mean both, solar-based generation of the utility company’s capacities and decentralized solar-based generation from households? </w:t>
      </w:r>
    </w:p>
    <w:p w14:paraId="05062C67" w14:textId="4AFAE423" w:rsidR="007D31BE" w:rsidRPr="00854396" w:rsidRDefault="007D31BE" w:rsidP="007D31BE">
      <w:pPr>
        <w:pStyle w:val="Listenabsatz"/>
        <w:numPr>
          <w:ilvl w:val="0"/>
          <w:numId w:val="3"/>
        </w:numPr>
        <w:rPr>
          <w:highlight w:val="green"/>
        </w:rPr>
      </w:pPr>
      <w:r w:rsidRPr="00854396">
        <w:rPr>
          <w:highlight w:val="green"/>
        </w:rPr>
        <w:t xml:space="preserve">From my viewpoint, the previous point is critical when it comes to the </w:t>
      </w:r>
      <w:r w:rsidR="007E5206" w:rsidRPr="00854396">
        <w:rPr>
          <w:highlight w:val="green"/>
        </w:rPr>
        <w:t xml:space="preserve">electricity demand elasticity because, for example, when we assume that somewhere in time decentralized solar-based generation has been installed, this affects the </w:t>
      </w:r>
      <w:proofErr w:type="gramStart"/>
      <w:r w:rsidR="007E5206" w:rsidRPr="00854396">
        <w:rPr>
          <w:highlight w:val="green"/>
        </w:rPr>
        <w:t>users</w:t>
      </w:r>
      <w:proofErr w:type="gramEnd"/>
      <w:r w:rsidR="007E5206" w:rsidRPr="00854396">
        <w:rPr>
          <w:highlight w:val="green"/>
        </w:rPr>
        <w:t xml:space="preserve"> consumption already? </w:t>
      </w:r>
      <w:proofErr w:type="gramStart"/>
      <w:r w:rsidR="007E5206" w:rsidRPr="00854396">
        <w:rPr>
          <w:highlight w:val="green"/>
        </w:rPr>
        <w:t>So</w:t>
      </w:r>
      <w:proofErr w:type="gramEnd"/>
      <w:r w:rsidR="007E5206" w:rsidRPr="00854396">
        <w:rPr>
          <w:highlight w:val="green"/>
        </w:rPr>
        <w:t xml:space="preserve"> in other words, the total installed capacities in the area of all stakeholders are needed?</w:t>
      </w:r>
    </w:p>
    <w:p w14:paraId="160EEF2E" w14:textId="6072169C" w:rsidR="00E11F51" w:rsidRDefault="00E11F51" w:rsidP="00E11F51"/>
    <w:p w14:paraId="13DA360B" w14:textId="00B95779" w:rsidR="00E11F51" w:rsidRDefault="00E11F51" w:rsidP="00E11F51"/>
    <w:p w14:paraId="615D6378" w14:textId="56BDDA5F" w:rsidR="00E11F51" w:rsidRDefault="00E11F51" w:rsidP="00E11F51"/>
    <w:p w14:paraId="4C6F4368" w14:textId="570CB02C" w:rsidR="00E11F51" w:rsidRPr="00EB3C1B" w:rsidRDefault="00E11F51" w:rsidP="00E11F51">
      <w:pPr>
        <w:rPr>
          <w:highlight w:val="green"/>
        </w:rPr>
      </w:pPr>
      <w:r w:rsidRPr="00EB3C1B">
        <w:rPr>
          <w:highlight w:val="green"/>
        </w:rPr>
        <w:lastRenderedPageBreak/>
        <w:t>Notes from meeting with Haytham (27.08)</w:t>
      </w:r>
    </w:p>
    <w:p w14:paraId="1CCF5C35" w14:textId="4075DAB7" w:rsidR="00E11F51" w:rsidRPr="00EB3C1B" w:rsidRDefault="00E11F51" w:rsidP="00E11F51">
      <w:pPr>
        <w:pStyle w:val="Listenabsatz"/>
        <w:numPr>
          <w:ilvl w:val="0"/>
          <w:numId w:val="4"/>
        </w:numPr>
        <w:rPr>
          <w:highlight w:val="green"/>
        </w:rPr>
      </w:pPr>
      <w:r w:rsidRPr="00EB3C1B">
        <w:rPr>
          <w:highlight w:val="green"/>
        </w:rPr>
        <w:t xml:space="preserve">Aggregated data for the entire district, which consists of three microgrids in total </w:t>
      </w:r>
    </w:p>
    <w:p w14:paraId="04546D9C" w14:textId="31006D0B" w:rsidR="00EB72CC" w:rsidRPr="00EB3C1B" w:rsidRDefault="00EB72CC" w:rsidP="00E11F51">
      <w:pPr>
        <w:pStyle w:val="Listenabsatz"/>
        <w:numPr>
          <w:ilvl w:val="0"/>
          <w:numId w:val="4"/>
        </w:numPr>
        <w:rPr>
          <w:highlight w:val="green"/>
        </w:rPr>
      </w:pPr>
      <w:r w:rsidRPr="00EB3C1B">
        <w:rPr>
          <w:highlight w:val="green"/>
        </w:rPr>
        <w:t xml:space="preserve">Substantial differences in the efficiency of the diesel generators </w:t>
      </w:r>
    </w:p>
    <w:p w14:paraId="65ADBC89" w14:textId="33024B5C" w:rsidR="00E11F51" w:rsidRPr="00EB3C1B" w:rsidRDefault="00E11F51" w:rsidP="00E11F51">
      <w:pPr>
        <w:pStyle w:val="Listenabsatz"/>
        <w:numPr>
          <w:ilvl w:val="0"/>
          <w:numId w:val="4"/>
        </w:numPr>
        <w:rPr>
          <w:b/>
          <w:bCs/>
          <w:highlight w:val="green"/>
          <w:lang w:val="de-AT"/>
        </w:rPr>
      </w:pPr>
      <w:proofErr w:type="spellStart"/>
      <w:r w:rsidRPr="00EB3C1B">
        <w:rPr>
          <w:highlight w:val="green"/>
          <w:lang w:val="de-AT"/>
        </w:rPr>
        <w:t>District</w:t>
      </w:r>
      <w:proofErr w:type="spellEnd"/>
      <w:r w:rsidRPr="00EB3C1B">
        <w:rPr>
          <w:highlight w:val="green"/>
          <w:lang w:val="de-AT"/>
        </w:rPr>
        <w:t xml:space="preserve"> </w:t>
      </w:r>
      <w:proofErr w:type="spellStart"/>
      <w:r w:rsidRPr="00EB3C1B">
        <w:rPr>
          <w:highlight w:val="green"/>
          <w:lang w:val="de-AT"/>
        </w:rPr>
        <w:t>name</w:t>
      </w:r>
      <w:proofErr w:type="spellEnd"/>
      <w:r w:rsidRPr="00EB3C1B">
        <w:rPr>
          <w:highlight w:val="green"/>
          <w:lang w:val="de-AT"/>
        </w:rPr>
        <w:t xml:space="preserve">: </w:t>
      </w:r>
      <w:r w:rsidRPr="00EB3C1B">
        <w:rPr>
          <w:b/>
          <w:bCs/>
          <w:highlight w:val="green"/>
          <w:lang w:val="de-AT"/>
        </w:rPr>
        <w:t xml:space="preserve">Deir </w:t>
      </w:r>
      <w:proofErr w:type="spellStart"/>
      <w:r w:rsidRPr="00EB3C1B">
        <w:rPr>
          <w:b/>
          <w:bCs/>
          <w:highlight w:val="green"/>
          <w:lang w:val="de-AT"/>
        </w:rPr>
        <w:t>Qanoun</w:t>
      </w:r>
      <w:proofErr w:type="spellEnd"/>
      <w:r w:rsidRPr="00EB3C1B">
        <w:rPr>
          <w:b/>
          <w:bCs/>
          <w:highlight w:val="green"/>
          <w:lang w:val="de-AT"/>
        </w:rPr>
        <w:t xml:space="preserve"> En Nahr</w:t>
      </w:r>
    </w:p>
    <w:p w14:paraId="7A11C58F" w14:textId="6E08D313" w:rsidR="00E11F51" w:rsidRPr="00EB3C1B" w:rsidRDefault="00EB72CC" w:rsidP="00E11F51">
      <w:pPr>
        <w:pStyle w:val="Listenabsatz"/>
        <w:numPr>
          <w:ilvl w:val="0"/>
          <w:numId w:val="4"/>
        </w:numPr>
        <w:rPr>
          <w:highlight w:val="green"/>
        </w:rPr>
      </w:pPr>
      <w:r w:rsidRPr="00EB3C1B">
        <w:rPr>
          <w:highlight w:val="green"/>
        </w:rPr>
        <w:t>Results should be provided in $/kWh</w:t>
      </w:r>
    </w:p>
    <w:p w14:paraId="63966714" w14:textId="724EB344" w:rsidR="00EB72CC" w:rsidRPr="002C040E" w:rsidRDefault="00EB72CC" w:rsidP="00E11F51">
      <w:pPr>
        <w:pStyle w:val="Listenabsatz"/>
        <w:numPr>
          <w:ilvl w:val="0"/>
          <w:numId w:val="4"/>
        </w:numPr>
        <w:rPr>
          <w:highlight w:val="green"/>
        </w:rPr>
      </w:pPr>
      <w:r w:rsidRPr="002C040E">
        <w:rPr>
          <w:highlight w:val="green"/>
        </w:rPr>
        <w:t>Small week storage available for the district (approximately 45,000l diesel)</w:t>
      </w:r>
    </w:p>
    <w:p w14:paraId="504023D3" w14:textId="0C45B5C9" w:rsidR="00EB72CC" w:rsidRPr="002C040E" w:rsidRDefault="00EB72CC" w:rsidP="00E11F51">
      <w:pPr>
        <w:pStyle w:val="Listenabsatz"/>
        <w:numPr>
          <w:ilvl w:val="0"/>
          <w:numId w:val="4"/>
        </w:numPr>
        <w:rPr>
          <w:highlight w:val="green"/>
        </w:rPr>
      </w:pPr>
      <w:r w:rsidRPr="002C040E">
        <w:rPr>
          <w:highlight w:val="green"/>
        </w:rPr>
        <w:t xml:space="preserve">“Governmental pricing” </w:t>
      </w:r>
      <w:r w:rsidRPr="002C040E">
        <w:rPr>
          <w:highlight w:val="green"/>
        </w:rPr>
        <w:sym w:font="Wingdings" w:char="F0E8"/>
      </w:r>
      <w:r w:rsidRPr="002C040E">
        <w:rPr>
          <w:highlight w:val="green"/>
        </w:rPr>
        <w:t xml:space="preserve"> “Obligatory rate” but today it is more a benchmark for comparison as the power of the government has vanished (it the past, the private company came in trouble if prices where remarkable different, but today not anymore)</w:t>
      </w:r>
    </w:p>
    <w:p w14:paraId="1DD1C0BE" w14:textId="00F61037" w:rsidR="00EB72CC" w:rsidRPr="002C040E" w:rsidRDefault="00EB72CC" w:rsidP="00E11F51">
      <w:pPr>
        <w:pStyle w:val="Listenabsatz"/>
        <w:numPr>
          <w:ilvl w:val="0"/>
          <w:numId w:val="4"/>
        </w:numPr>
        <w:rPr>
          <w:highlight w:val="green"/>
        </w:rPr>
      </w:pPr>
      <w:r w:rsidRPr="002C040E">
        <w:rPr>
          <w:highlight w:val="green"/>
        </w:rPr>
        <w:t xml:space="preserve">15,000 inhabitants </w:t>
      </w:r>
    </w:p>
    <w:p w14:paraId="7AD8CD84" w14:textId="13F1CFF3" w:rsidR="007E75CD" w:rsidRPr="001D3689" w:rsidRDefault="00900F9D" w:rsidP="00E11F51">
      <w:pPr>
        <w:pStyle w:val="Listenabsatz"/>
        <w:numPr>
          <w:ilvl w:val="0"/>
          <w:numId w:val="4"/>
        </w:numPr>
        <w:rPr>
          <w:highlight w:val="green"/>
        </w:rPr>
      </w:pPr>
      <w:hyperlink r:id="rId6" w:history="1">
        <w:r w:rsidR="007E75CD" w:rsidRPr="001D3689">
          <w:rPr>
            <w:rStyle w:val="Hyperlink"/>
            <w:highlight w:val="green"/>
          </w:rPr>
          <w:t>https://www.weatherworld.com/yearly-climate/lb/tyre.html</w:t>
        </w:r>
      </w:hyperlink>
      <w:r w:rsidR="007E75CD" w:rsidRPr="001D3689">
        <w:rPr>
          <w:highlight w:val="green"/>
        </w:rPr>
        <w:t xml:space="preserve"> </w:t>
      </w:r>
    </w:p>
    <w:p w14:paraId="6624CD5B" w14:textId="78D57CC3" w:rsidR="007E75CD" w:rsidRDefault="007E75CD" w:rsidP="00E11F51">
      <w:pPr>
        <w:pStyle w:val="Listenabsatz"/>
        <w:numPr>
          <w:ilvl w:val="0"/>
          <w:numId w:val="4"/>
        </w:numPr>
      </w:pPr>
      <w:r w:rsidRPr="007E75CD">
        <w:rPr>
          <w:noProof/>
        </w:rPr>
        <w:drawing>
          <wp:inline distT="0" distB="0" distL="0" distR="0" wp14:anchorId="52BA2813" wp14:editId="04A99568">
            <wp:extent cx="5972810" cy="3996690"/>
            <wp:effectExtent l="0" t="0" r="889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37B5" w14:textId="76292AD7" w:rsidR="007E75CD" w:rsidRDefault="007E75CD" w:rsidP="00E11F51">
      <w:pPr>
        <w:pStyle w:val="Listenabsatz"/>
        <w:numPr>
          <w:ilvl w:val="0"/>
          <w:numId w:val="4"/>
        </w:numPr>
      </w:pPr>
      <w:r w:rsidRPr="007E75CD">
        <w:rPr>
          <w:noProof/>
        </w:rPr>
        <w:lastRenderedPageBreak/>
        <w:drawing>
          <wp:inline distT="0" distB="0" distL="0" distR="0" wp14:anchorId="1C6E93ED" wp14:editId="73649EB3">
            <wp:extent cx="5972810" cy="3598545"/>
            <wp:effectExtent l="0" t="0" r="889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7703" w14:textId="302F45C3" w:rsidR="007E75CD" w:rsidRDefault="007E75CD" w:rsidP="00E11F51">
      <w:pPr>
        <w:pStyle w:val="Listenabsatz"/>
        <w:numPr>
          <w:ilvl w:val="0"/>
          <w:numId w:val="4"/>
        </w:numPr>
      </w:pPr>
      <w:r w:rsidRPr="007E75CD">
        <w:rPr>
          <w:noProof/>
        </w:rPr>
        <w:drawing>
          <wp:inline distT="0" distB="0" distL="0" distR="0" wp14:anchorId="051BF45F" wp14:editId="08DC27F8">
            <wp:extent cx="5972810" cy="3400425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130C" w14:textId="63780620" w:rsidR="007E75CD" w:rsidRPr="001D3689" w:rsidRDefault="00A47715" w:rsidP="00E11F51">
      <w:pPr>
        <w:pStyle w:val="Listenabsatz"/>
        <w:numPr>
          <w:ilvl w:val="0"/>
          <w:numId w:val="4"/>
        </w:numPr>
        <w:rPr>
          <w:highlight w:val="green"/>
        </w:rPr>
      </w:pPr>
      <w:r w:rsidRPr="001D3689">
        <w:rPr>
          <w:highlight w:val="green"/>
        </w:rPr>
        <w:t xml:space="preserve">4-6 hours at max is the availability of the public grid </w:t>
      </w:r>
    </w:p>
    <w:p w14:paraId="0E8FF722" w14:textId="158F0F90" w:rsidR="00A47715" w:rsidRPr="00900F9D" w:rsidRDefault="00A47715" w:rsidP="00E11F51">
      <w:pPr>
        <w:pStyle w:val="Listenabsatz"/>
        <w:numPr>
          <w:ilvl w:val="0"/>
          <w:numId w:val="4"/>
        </w:numPr>
        <w:rPr>
          <w:highlight w:val="green"/>
        </w:rPr>
      </w:pPr>
      <w:r w:rsidRPr="00900F9D">
        <w:rPr>
          <w:highlight w:val="green"/>
        </w:rPr>
        <w:t>30% Industrial demand, and 70% Residential demand</w:t>
      </w:r>
    </w:p>
    <w:p w14:paraId="2C54C880" w14:textId="30B021E9" w:rsidR="00A47715" w:rsidRPr="00900F9D" w:rsidRDefault="00A47715" w:rsidP="00E11F51">
      <w:pPr>
        <w:pStyle w:val="Listenabsatz"/>
        <w:numPr>
          <w:ilvl w:val="0"/>
          <w:numId w:val="4"/>
        </w:numPr>
        <w:rPr>
          <w:highlight w:val="green"/>
        </w:rPr>
      </w:pPr>
      <w:r w:rsidRPr="00900F9D">
        <w:rPr>
          <w:highlight w:val="green"/>
        </w:rPr>
        <w:t xml:space="preserve">740kWp solar farms and 1,500kW rooftop solar PV systems (550 units) </w:t>
      </w:r>
      <w:r w:rsidRPr="00900F9D">
        <w:rPr>
          <w:highlight w:val="green"/>
        </w:rPr>
        <w:sym w:font="Wingdings" w:char="F0E8"/>
      </w:r>
      <w:r w:rsidRPr="00900F9D">
        <w:rPr>
          <w:highlight w:val="green"/>
        </w:rPr>
        <w:t xml:space="preserve"> 20% before the 2022, 80% after 2022</w:t>
      </w:r>
    </w:p>
    <w:p w14:paraId="7011C647" w14:textId="155B96B6" w:rsidR="00A47715" w:rsidRPr="008325BE" w:rsidRDefault="00A47715" w:rsidP="00E11F51">
      <w:pPr>
        <w:pStyle w:val="Listenabsatz"/>
        <w:numPr>
          <w:ilvl w:val="0"/>
          <w:numId w:val="4"/>
        </w:numPr>
        <w:rPr>
          <w:highlight w:val="green"/>
        </w:rPr>
      </w:pPr>
      <w:r w:rsidRPr="008325BE">
        <w:rPr>
          <w:highlight w:val="green"/>
        </w:rPr>
        <w:t>1300 units (consumer points): 160 industrial consumers (factory, supermarkets), 16/84 for residential consumers</w:t>
      </w:r>
    </w:p>
    <w:p w14:paraId="75E8DF24" w14:textId="77777777" w:rsidR="000D2F5E" w:rsidRPr="00EB72CC" w:rsidRDefault="000D2F5E"/>
    <w:sectPr w:rsidR="000D2F5E" w:rsidRPr="00EB72C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5pt;height:11.5pt" o:bullet="t">
        <v:imagedata r:id="rId1" o:title="mso2884"/>
      </v:shape>
    </w:pict>
  </w:numPicBullet>
  <w:abstractNum w:abstractNumId="0" w15:restartNumberingAfterBreak="0">
    <w:nsid w:val="30D93554"/>
    <w:multiLevelType w:val="hybridMultilevel"/>
    <w:tmpl w:val="4F7A710E"/>
    <w:lvl w:ilvl="0" w:tplc="CE4A880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F1981"/>
    <w:multiLevelType w:val="hybridMultilevel"/>
    <w:tmpl w:val="3476E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D5084"/>
    <w:multiLevelType w:val="hybridMultilevel"/>
    <w:tmpl w:val="25D22B5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2117C"/>
    <w:multiLevelType w:val="hybridMultilevel"/>
    <w:tmpl w:val="1082968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5E"/>
    <w:rsid w:val="000D2F5E"/>
    <w:rsid w:val="00176E55"/>
    <w:rsid w:val="001D3689"/>
    <w:rsid w:val="002C040E"/>
    <w:rsid w:val="003E4A9D"/>
    <w:rsid w:val="007D31BE"/>
    <w:rsid w:val="007E5206"/>
    <w:rsid w:val="007E75CD"/>
    <w:rsid w:val="008325BE"/>
    <w:rsid w:val="00854396"/>
    <w:rsid w:val="00900F9D"/>
    <w:rsid w:val="00A47715"/>
    <w:rsid w:val="00D05C84"/>
    <w:rsid w:val="00E11F51"/>
    <w:rsid w:val="00EB3C1B"/>
    <w:rsid w:val="00EB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6A0"/>
  <w15:chartTrackingRefBased/>
  <w15:docId w15:val="{A6350F81-C149-4E9B-B30B-149168B4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2F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E75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E7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world.com/yearly-climate/lb/tyre.html" TargetMode="Externa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Tabelle1!$F$1</c:f>
              <c:strCache>
                <c:ptCount val="1"/>
                <c:pt idx="0">
                  <c:v>Average diesel consumption [L/kWh]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Tabelle1!$F$2:$F$42</c:f>
              <c:numCache>
                <c:formatCode>_-* #\ ##0.000_-;\-* #\ ##0.000_-;_-* "-"??_-;_-@_-</c:formatCode>
                <c:ptCount val="41"/>
                <c:pt idx="0">
                  <c:v>0.49804439999726008</c:v>
                </c:pt>
                <c:pt idx="1">
                  <c:v>0.25748084670377014</c:v>
                </c:pt>
                <c:pt idx="2">
                  <c:v>0.2276871154281481</c:v>
                </c:pt>
                <c:pt idx="3">
                  <c:v>0.22171103023263963</c:v>
                </c:pt>
                <c:pt idx="4">
                  <c:v>0.18962308149808951</c:v>
                </c:pt>
                <c:pt idx="5">
                  <c:v>0.14650809382226626</c:v>
                </c:pt>
                <c:pt idx="6">
                  <c:v>0.11994054054054054</c:v>
                </c:pt>
                <c:pt idx="7">
                  <c:v>0.1647340307144447</c:v>
                </c:pt>
                <c:pt idx="8">
                  <c:v>0.2429729744506591</c:v>
                </c:pt>
                <c:pt idx="9">
                  <c:v>0.25854651162790698</c:v>
                </c:pt>
                <c:pt idx="10">
                  <c:v>0.30536399256163754</c:v>
                </c:pt>
                <c:pt idx="11">
                  <c:v>0.29684364896843651</c:v>
                </c:pt>
                <c:pt idx="12">
                  <c:v>0.26890259356255808</c:v>
                </c:pt>
                <c:pt idx="13">
                  <c:v>0.26231176470588236</c:v>
                </c:pt>
                <c:pt idx="14">
                  <c:v>0.36147633282296804</c:v>
                </c:pt>
                <c:pt idx="15">
                  <c:v>0.38489121814984656</c:v>
                </c:pt>
                <c:pt idx="16">
                  <c:v>0.42244093371529057</c:v>
                </c:pt>
                <c:pt idx="17">
                  <c:v>0.36428740192763626</c:v>
                </c:pt>
                <c:pt idx="18">
                  <c:v>0.31959285714285712</c:v>
                </c:pt>
                <c:pt idx="19">
                  <c:v>0.23363476500331348</c:v>
                </c:pt>
                <c:pt idx="20">
                  <c:v>0.29284313725490196</c:v>
                </c:pt>
                <c:pt idx="21">
                  <c:v>0.4322695719244119</c:v>
                </c:pt>
                <c:pt idx="22">
                  <c:v>0.44789410108714101</c:v>
                </c:pt>
                <c:pt idx="23">
                  <c:v>0.47761702127659572</c:v>
                </c:pt>
                <c:pt idx="24">
                  <c:v>0.40726471708033429</c:v>
                </c:pt>
                <c:pt idx="25">
                  <c:v>0.50333631885356023</c:v>
                </c:pt>
                <c:pt idx="26">
                  <c:v>0.72441223832528179</c:v>
                </c:pt>
                <c:pt idx="27">
                  <c:v>0.67189552238805972</c:v>
                </c:pt>
                <c:pt idx="28">
                  <c:v>0.60874324324324325</c:v>
                </c:pt>
                <c:pt idx="29">
                  <c:v>0.44433711187777231</c:v>
                </c:pt>
                <c:pt idx="30">
                  <c:v>0.35962688352068883</c:v>
                </c:pt>
                <c:pt idx="31">
                  <c:v>0.26874691148540436</c:v>
                </c:pt>
                <c:pt idx="32">
                  <c:v>0.35849206349206347</c:v>
                </c:pt>
                <c:pt idx="33">
                  <c:v>0.51954022988505744</c:v>
                </c:pt>
                <c:pt idx="34">
                  <c:v>0.53013361462728548</c:v>
                </c:pt>
                <c:pt idx="35">
                  <c:v>0.52893537454715434</c:v>
                </c:pt>
                <c:pt idx="36">
                  <c:v>0.41391663544227447</c:v>
                </c:pt>
                <c:pt idx="37">
                  <c:v>0.51322032362899295</c:v>
                </c:pt>
                <c:pt idx="38">
                  <c:v>0.49407894020110904</c:v>
                </c:pt>
                <c:pt idx="39">
                  <c:v>0.4503756190022527</c:v>
                </c:pt>
                <c:pt idx="40">
                  <c:v>0.42158373561084295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02-48F5-B1B7-B34AC5987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24231695"/>
        <c:axId val="1424238351"/>
      </c:barChart>
      <c:lineChart>
        <c:grouping val="standard"/>
        <c:varyColors val="0"/>
        <c:ser>
          <c:idx val="1"/>
          <c:order val="1"/>
          <c:tx>
            <c:strRef>
              <c:f>Tabelle1!$D$1</c:f>
              <c:strCache>
                <c:ptCount val="1"/>
                <c:pt idx="0">
                  <c:v>Operation time (Hours)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Tabelle1!$D$2:$D$42</c:f>
              <c:numCache>
                <c:formatCode>General</c:formatCode>
                <c:ptCount val="41"/>
                <c:pt idx="0">
                  <c:v>361</c:v>
                </c:pt>
                <c:pt idx="1">
                  <c:v>420</c:v>
                </c:pt>
                <c:pt idx="2">
                  <c:v>480</c:v>
                </c:pt>
                <c:pt idx="3">
                  <c:v>503</c:v>
                </c:pt>
                <c:pt idx="4">
                  <c:v>520</c:v>
                </c:pt>
                <c:pt idx="5">
                  <c:v>620</c:v>
                </c:pt>
                <c:pt idx="6">
                  <c:v>556</c:v>
                </c:pt>
                <c:pt idx="7">
                  <c:v>320</c:v>
                </c:pt>
                <c:pt idx="8">
                  <c:v>283</c:v>
                </c:pt>
                <c:pt idx="9">
                  <c:v>381</c:v>
                </c:pt>
                <c:pt idx="10">
                  <c:v>375</c:v>
                </c:pt>
                <c:pt idx="11">
                  <c:v>374</c:v>
                </c:pt>
                <c:pt idx="12">
                  <c:v>408</c:v>
                </c:pt>
                <c:pt idx="13">
                  <c:v>423</c:v>
                </c:pt>
                <c:pt idx="14">
                  <c:v>330</c:v>
                </c:pt>
                <c:pt idx="15">
                  <c:v>342</c:v>
                </c:pt>
                <c:pt idx="16">
                  <c:v>325</c:v>
                </c:pt>
                <c:pt idx="17">
                  <c:v>320</c:v>
                </c:pt>
                <c:pt idx="18">
                  <c:v>335</c:v>
                </c:pt>
                <c:pt idx="19">
                  <c:v>420</c:v>
                </c:pt>
                <c:pt idx="20">
                  <c:v>420</c:v>
                </c:pt>
                <c:pt idx="21">
                  <c:v>355</c:v>
                </c:pt>
                <c:pt idx="22">
                  <c:v>370</c:v>
                </c:pt>
                <c:pt idx="23">
                  <c:v>350</c:v>
                </c:pt>
                <c:pt idx="24">
                  <c:v>420</c:v>
                </c:pt>
                <c:pt idx="25">
                  <c:v>320</c:v>
                </c:pt>
                <c:pt idx="26">
                  <c:v>341</c:v>
                </c:pt>
                <c:pt idx="27">
                  <c:v>404</c:v>
                </c:pt>
                <c:pt idx="28">
                  <c:v>420</c:v>
                </c:pt>
                <c:pt idx="29">
                  <c:v>440</c:v>
                </c:pt>
                <c:pt idx="30">
                  <c:v>410</c:v>
                </c:pt>
                <c:pt idx="31">
                  <c:v>448</c:v>
                </c:pt>
                <c:pt idx="32">
                  <c:v>440</c:v>
                </c:pt>
                <c:pt idx="33">
                  <c:v>388</c:v>
                </c:pt>
                <c:pt idx="34">
                  <c:v>445</c:v>
                </c:pt>
                <c:pt idx="35">
                  <c:v>485</c:v>
                </c:pt>
                <c:pt idx="36">
                  <c:v>525</c:v>
                </c:pt>
                <c:pt idx="37">
                  <c:v>475</c:v>
                </c:pt>
                <c:pt idx="38">
                  <c:v>540</c:v>
                </c:pt>
                <c:pt idx="39">
                  <c:v>620</c:v>
                </c:pt>
                <c:pt idx="40">
                  <c:v>620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02-48F5-B1B7-B34AC5987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1367967"/>
        <c:axId val="1431385023"/>
      </c:lineChart>
      <c:catAx>
        <c:axId val="14242316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4238351"/>
        <c:crosses val="autoZero"/>
        <c:auto val="1"/>
        <c:lblAlgn val="ctr"/>
        <c:lblOffset val="100"/>
        <c:noMultiLvlLbl val="0"/>
      </c:catAx>
      <c:valAx>
        <c:axId val="142423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\ ##0.000_-;\-* #\ ##0.000_-;_-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4231695"/>
        <c:crosses val="autoZero"/>
        <c:crossBetween val="between"/>
      </c:valAx>
      <c:valAx>
        <c:axId val="1431385023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1367967"/>
        <c:crosses val="max"/>
        <c:crossBetween val="between"/>
      </c:valAx>
      <c:catAx>
        <c:axId val="1431367967"/>
        <c:scaling>
          <c:orientation val="minMax"/>
        </c:scaling>
        <c:delete val="1"/>
        <c:axPos val="b"/>
        <c:majorTickMark val="out"/>
        <c:minorTickMark val="none"/>
        <c:tickLblPos val="nextTo"/>
        <c:crossAx val="143138502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Sebastian Zwickl (TUW-EEG)</cp:lastModifiedBy>
  <cp:revision>8</cp:revision>
  <dcterms:created xsi:type="dcterms:W3CDTF">2024-08-21T09:30:00Z</dcterms:created>
  <dcterms:modified xsi:type="dcterms:W3CDTF">2024-09-02T12:38:00Z</dcterms:modified>
</cp:coreProperties>
</file>