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A8FA8" w14:textId="62E4D5CF" w:rsidR="00E2596F" w:rsidRPr="0041288D" w:rsidRDefault="00F74876" w:rsidP="00F74876">
      <w:pPr>
        <w:pStyle w:val="Titel"/>
        <w:rPr>
          <w:rFonts w:eastAsia="Times New Roman"/>
          <w:color w:val="000000"/>
          <w:lang w:val="en-US"/>
        </w:rPr>
      </w:pPr>
      <w:bookmarkStart w:id="0" w:name="_GoBack"/>
      <w:bookmarkEnd w:id="0"/>
      <w:r w:rsidRPr="0041288D">
        <w:rPr>
          <w:rFonts w:eastAsia="Times New Roman"/>
          <w:color w:val="000000"/>
          <w:lang w:val="en-US"/>
        </w:rPr>
        <w:t xml:space="preserve">global </w:t>
      </w:r>
      <w:r w:rsidR="00E132E7" w:rsidRPr="0041288D">
        <w:rPr>
          <w:rFonts w:eastAsia="Times New Roman"/>
          <w:color w:val="000000"/>
          <w:lang w:val="en-US"/>
        </w:rPr>
        <w:t xml:space="preserve">dynamics of </w:t>
      </w:r>
      <w:r w:rsidRPr="0041288D">
        <w:rPr>
          <w:rFonts w:eastAsia="Times New Roman"/>
          <w:color w:val="000000"/>
          <w:lang w:val="en-US"/>
        </w:rPr>
        <w:t xml:space="preserve">critical raw </w:t>
      </w:r>
      <w:r w:rsidR="00413F75" w:rsidRPr="0041288D">
        <w:rPr>
          <w:rFonts w:eastAsia="Times New Roman"/>
          <w:color w:val="000000"/>
          <w:lang w:val="en-US"/>
        </w:rPr>
        <w:t>material</w:t>
      </w:r>
      <w:r w:rsidR="00E132E7" w:rsidRPr="0041288D">
        <w:rPr>
          <w:rFonts w:eastAsia="Times New Roman"/>
          <w:color w:val="000000"/>
          <w:lang w:val="en-US"/>
        </w:rPr>
        <w:t xml:space="preserve"> markets</w:t>
      </w:r>
      <w:r w:rsidRPr="0041288D">
        <w:rPr>
          <w:rFonts w:eastAsia="Times New Roman"/>
          <w:color w:val="000000"/>
          <w:lang w:val="en-US"/>
        </w:rPr>
        <w:t xml:space="preserve"> and </w:t>
      </w:r>
      <w:r w:rsidR="009E5905" w:rsidRPr="0041288D">
        <w:rPr>
          <w:rFonts w:eastAsia="Times New Roman"/>
          <w:color w:val="000000"/>
          <w:lang w:val="en-US"/>
        </w:rPr>
        <w:t>Europe’s</w:t>
      </w:r>
      <w:r w:rsidRPr="0041288D">
        <w:rPr>
          <w:rFonts w:eastAsia="Times New Roman"/>
          <w:color w:val="000000"/>
          <w:lang w:val="en-US"/>
        </w:rPr>
        <w:t xml:space="preserve"> </w:t>
      </w:r>
      <w:r w:rsidR="009E5905" w:rsidRPr="0041288D">
        <w:rPr>
          <w:rFonts w:eastAsia="Times New Roman"/>
          <w:color w:val="000000"/>
          <w:lang w:val="en-US"/>
        </w:rPr>
        <w:t xml:space="preserve">2030 </w:t>
      </w:r>
      <w:r w:rsidRPr="0041288D">
        <w:rPr>
          <w:rFonts w:eastAsia="Times New Roman"/>
          <w:color w:val="000000"/>
          <w:lang w:val="en-US"/>
        </w:rPr>
        <w:t>hydrogen target</w:t>
      </w:r>
      <w:r w:rsidR="009E5905" w:rsidRPr="0041288D">
        <w:rPr>
          <w:rFonts w:eastAsia="Times New Roman"/>
          <w:color w:val="000000"/>
          <w:lang w:val="en-US"/>
        </w:rPr>
        <w:t xml:space="preserve">: </w:t>
      </w:r>
      <w:r w:rsidR="00E132E7" w:rsidRPr="0041288D">
        <w:rPr>
          <w:rFonts w:eastAsia="Times New Roman"/>
          <w:color w:val="000000"/>
          <w:lang w:val="en-US"/>
        </w:rPr>
        <w:br/>
      </w:r>
      <w:r w:rsidRPr="0041288D">
        <w:rPr>
          <w:rFonts w:eastAsia="Times New Roman"/>
          <w:color w:val="000000"/>
          <w:lang w:val="en-US"/>
        </w:rPr>
        <w:t>a game theoretic</w:t>
      </w:r>
      <w:r w:rsidR="00E132E7" w:rsidRPr="0041288D">
        <w:rPr>
          <w:rFonts w:eastAsia="Times New Roman"/>
          <w:color w:val="000000"/>
          <w:lang w:val="en-US"/>
        </w:rPr>
        <w:t xml:space="preserve"> </w:t>
      </w:r>
      <w:r w:rsidR="00413F75" w:rsidRPr="0041288D">
        <w:rPr>
          <w:rFonts w:eastAsia="Times New Roman"/>
          <w:color w:val="000000"/>
          <w:lang w:val="en-US"/>
        </w:rPr>
        <w:t>model</w:t>
      </w:r>
    </w:p>
    <w:p w14:paraId="2E15F8D3" w14:textId="38D54F46" w:rsidR="00725939" w:rsidRPr="004D7979" w:rsidRDefault="00AE7E6E" w:rsidP="00725939">
      <w:pPr>
        <w:pStyle w:val="Autoren"/>
        <w:rPr>
          <w:lang w:val="de-AT"/>
        </w:rPr>
      </w:pPr>
      <w:r w:rsidRPr="004D7979">
        <w:rPr>
          <w:lang w:val="de-AT"/>
        </w:rPr>
        <w:t>Sebastian</w:t>
      </w:r>
      <w:r w:rsidR="00725939" w:rsidRPr="004D7979">
        <w:rPr>
          <w:lang w:val="de-AT"/>
        </w:rPr>
        <w:t xml:space="preserve"> </w:t>
      </w:r>
      <w:r w:rsidRPr="004D7979">
        <w:rPr>
          <w:lang w:val="de-AT"/>
        </w:rPr>
        <w:t>ZWICKL-BERNHARD</w:t>
      </w:r>
      <w:r w:rsidR="00A56C5B" w:rsidRPr="004D7979">
        <w:rPr>
          <w:lang w:val="de-AT"/>
        </w:rPr>
        <w:t>*</w:t>
      </w:r>
      <w:r w:rsidR="00725939" w:rsidRPr="0041288D">
        <w:rPr>
          <w:rStyle w:val="Funotenzeichen"/>
          <w:lang w:val="en-US"/>
        </w:rPr>
        <w:footnoteReference w:id="1"/>
      </w:r>
      <w:r w:rsidR="00725939" w:rsidRPr="004D7979">
        <w:rPr>
          <w:lang w:val="de-AT"/>
        </w:rPr>
        <w:t xml:space="preserve">, </w:t>
      </w:r>
      <w:r w:rsidRPr="004D7979">
        <w:rPr>
          <w:lang w:val="de-AT"/>
        </w:rPr>
        <w:t>Marzia</w:t>
      </w:r>
      <w:r w:rsidR="00725939" w:rsidRPr="004D7979">
        <w:rPr>
          <w:lang w:val="de-AT"/>
        </w:rPr>
        <w:t xml:space="preserve"> </w:t>
      </w:r>
      <w:r w:rsidRPr="004D7979">
        <w:rPr>
          <w:lang w:val="de-AT"/>
        </w:rPr>
        <w:t>SESINI</w:t>
      </w:r>
      <w:r w:rsidR="00725939" w:rsidRPr="0041288D">
        <w:rPr>
          <w:rStyle w:val="Funotenzeichen"/>
          <w:lang w:val="en-US"/>
        </w:rPr>
        <w:footnoteReference w:id="2"/>
      </w:r>
      <w:r w:rsidR="00CF3243" w:rsidRPr="004D7979">
        <w:rPr>
          <w:lang w:val="de-AT"/>
        </w:rPr>
        <w:t xml:space="preserve">, </w:t>
      </w:r>
      <w:r w:rsidR="00CF3243" w:rsidRPr="004D7979">
        <w:rPr>
          <w:lang w:val="de-AT"/>
        </w:rPr>
        <w:br/>
        <w:t>Max MÜNCHMEYER</w:t>
      </w:r>
      <w:r w:rsidR="00925DA6" w:rsidRPr="004D7979">
        <w:rPr>
          <w:rStyle w:val="Funotenzeichen"/>
          <w:lang w:val="de-AT"/>
        </w:rPr>
        <w:t>2</w:t>
      </w:r>
      <w:r w:rsidR="00CF3243" w:rsidRPr="004D7979">
        <w:rPr>
          <w:lang w:val="de-AT"/>
        </w:rPr>
        <w:t>, Ben</w:t>
      </w:r>
      <w:r w:rsidR="00F41DC7" w:rsidRPr="004D7979">
        <w:rPr>
          <w:lang w:val="de-AT"/>
        </w:rPr>
        <w:t>jamin F.</w:t>
      </w:r>
      <w:r w:rsidR="00CF3243" w:rsidRPr="004D7979">
        <w:rPr>
          <w:lang w:val="de-AT"/>
        </w:rPr>
        <w:t xml:space="preserve"> HOBBS</w:t>
      </w:r>
      <w:r w:rsidR="00CF3243" w:rsidRPr="0041288D">
        <w:rPr>
          <w:rStyle w:val="Funotenzeichen"/>
          <w:lang w:val="en-US"/>
        </w:rPr>
        <w:footnoteReference w:id="3"/>
      </w:r>
    </w:p>
    <w:p w14:paraId="1BF7737F" w14:textId="77777777" w:rsidR="00725939" w:rsidRPr="004D7979" w:rsidRDefault="00725939" w:rsidP="00725939">
      <w:pPr>
        <w:rPr>
          <w:lang w:val="de-AT"/>
        </w:rPr>
      </w:pPr>
    </w:p>
    <w:p w14:paraId="77FC8707" w14:textId="5CB778D5" w:rsidR="00183BA0" w:rsidRPr="0041288D" w:rsidRDefault="00F85CC7" w:rsidP="00A56C5B">
      <w:pPr>
        <w:pStyle w:val="berschrift1"/>
        <w:rPr>
          <w:lang w:val="en-US"/>
        </w:rPr>
      </w:pPr>
      <w:r w:rsidRPr="0041288D">
        <w:rPr>
          <w:lang w:val="en-US"/>
        </w:rPr>
        <w:t xml:space="preserve">Motivation </w:t>
      </w:r>
      <w:r w:rsidR="005D6DD3" w:rsidRPr="0041288D">
        <w:rPr>
          <w:lang w:val="en-US"/>
        </w:rPr>
        <w:t xml:space="preserve">and </w:t>
      </w:r>
      <w:r w:rsidR="0013562B">
        <w:rPr>
          <w:lang w:val="en-US"/>
        </w:rPr>
        <w:t>background</w:t>
      </w:r>
    </w:p>
    <w:p w14:paraId="5A069940" w14:textId="77777777" w:rsidR="00E22C5F" w:rsidRDefault="00E22C5F" w:rsidP="003C6DF7">
      <w:pPr>
        <w:rPr>
          <w:lang w:val="en-US"/>
        </w:rPr>
      </w:pPr>
      <w:r w:rsidRPr="00E22C5F">
        <w:rPr>
          <w:lang w:val="en-US"/>
        </w:rPr>
        <w:t xml:space="preserve">In Europe and globally, energy systems </w:t>
      </w:r>
      <w:proofErr w:type="gramStart"/>
      <w:r w:rsidRPr="00E22C5F">
        <w:rPr>
          <w:lang w:val="en-US"/>
        </w:rPr>
        <w:t>are being transformed</w:t>
      </w:r>
      <w:proofErr w:type="gramEnd"/>
      <w:r w:rsidRPr="00E22C5F">
        <w:rPr>
          <w:lang w:val="en-US"/>
        </w:rPr>
        <w:t xml:space="preserve"> towards full decarbonization and green technologies. This transformation involves not only integrating renewable energy sources (RES) into power systems but also a fundamental shift from fossil fuels to RES in the provision of energy services in the heating, transport, industrial, and other sectors. As we gain a better understanding of how the decarbonization of energy systems could look in concrete terms (e.g., electrification through heat pumps in the heating sector or green hydrogen use in the industrial sector), it is also becoming clear that the demand for critical raw materials will increase tremendously. </w:t>
      </w:r>
    </w:p>
    <w:p w14:paraId="5F03A14F" w14:textId="1C54FE6A" w:rsidR="00F41EB6" w:rsidRPr="00E22C5F" w:rsidRDefault="00E22C5F" w:rsidP="003C6DF7">
      <w:pPr>
        <w:rPr>
          <w:lang w:val="en-US"/>
        </w:rPr>
      </w:pPr>
      <w:r w:rsidRPr="00E22C5F">
        <w:rPr>
          <w:lang w:val="en-US"/>
        </w:rPr>
        <w:t xml:space="preserve">The importance of how and where critical raw materials </w:t>
      </w:r>
      <w:proofErr w:type="gramStart"/>
      <w:r w:rsidRPr="00E22C5F">
        <w:rPr>
          <w:lang w:val="en-US"/>
        </w:rPr>
        <w:t>are sourced</w:t>
      </w:r>
      <w:proofErr w:type="gramEnd"/>
      <w:r w:rsidRPr="00E22C5F">
        <w:rPr>
          <w:lang w:val="en-US"/>
        </w:rPr>
        <w:t xml:space="preserve"> has already been recognized in Europe. The European Commission recently published the </w:t>
      </w:r>
      <w:r w:rsidRPr="00E22C5F">
        <w:rPr>
          <w:rStyle w:val="Hervorhebung"/>
          <w:color w:val="0E101A"/>
          <w:lang w:val="en-US"/>
        </w:rPr>
        <w:t>Critical Raw Materials Act</w:t>
      </w:r>
      <w:r w:rsidRPr="00E22C5F">
        <w:rPr>
          <w:lang w:val="en-US"/>
        </w:rPr>
        <w:t> (CRMA) [1]. Essentially, the report is one of the first comprehensive reports to shed light on how Europe can meet its critical raw material needs as it decarbonizes its energy system. In particular, the report highlights the fact that for selected critical raw materials, such as cobalt, Europe is and is likely to remain highly dependent on a few exporting countries that hold significant shares (some almost 100%) of the global reserves of these materials. Consequently, the report suggests, among others, two measures to reduce import dependency and to ensure the security of supply for Europe:</w:t>
      </w:r>
    </w:p>
    <w:p w14:paraId="5888DC44" w14:textId="08A93023" w:rsidR="00DD36F7" w:rsidRPr="006D0B41" w:rsidRDefault="00DD36F7" w:rsidP="00DD36F7">
      <w:pPr>
        <w:pStyle w:val="Listenabsatz"/>
        <w:rPr>
          <w:lang w:val="en-US"/>
        </w:rPr>
      </w:pPr>
      <w:r w:rsidRPr="006D0B41">
        <w:rPr>
          <w:lang w:val="en-US"/>
        </w:rPr>
        <w:t>Diversification</w:t>
      </w:r>
      <w:r w:rsidR="006D0B41" w:rsidRPr="006D0B41">
        <w:rPr>
          <w:lang w:val="en-US"/>
        </w:rPr>
        <w:t xml:space="preserve"> of exporters</w:t>
      </w:r>
      <w:r w:rsidR="006D0B41">
        <w:rPr>
          <w:lang w:val="en-US"/>
        </w:rPr>
        <w:t>, with the aim of no single exporter accounting for more than 65% of annual European demand</w:t>
      </w:r>
    </w:p>
    <w:p w14:paraId="58FC8040" w14:textId="0E51E661" w:rsidR="006D0B41" w:rsidRDefault="00214C46" w:rsidP="00214C46">
      <w:pPr>
        <w:pStyle w:val="Listenabsatz"/>
        <w:rPr>
          <w:lang w:val="en-US"/>
        </w:rPr>
      </w:pPr>
      <w:r>
        <w:rPr>
          <w:lang w:val="en-US"/>
        </w:rPr>
        <w:t xml:space="preserve">Strategic stockpiling </w:t>
      </w:r>
      <w:r w:rsidRPr="00214C46">
        <w:rPr>
          <w:lang w:val="en-US"/>
        </w:rPr>
        <w:t xml:space="preserve">to make the demand curve more flexible and strengthen </w:t>
      </w:r>
      <w:r>
        <w:rPr>
          <w:lang w:val="en-US"/>
        </w:rPr>
        <w:t xml:space="preserve">its </w:t>
      </w:r>
      <w:r w:rsidRPr="00214C46">
        <w:rPr>
          <w:lang w:val="en-US"/>
        </w:rPr>
        <w:t xml:space="preserve">position on the </w:t>
      </w:r>
      <w:r>
        <w:rPr>
          <w:lang w:val="en-US"/>
        </w:rPr>
        <w:t>global market (</w:t>
      </w:r>
      <w:r w:rsidRPr="00214C46">
        <w:rPr>
          <w:lang w:val="en-US"/>
        </w:rPr>
        <w:t>even as a major consumer with</w:t>
      </w:r>
      <w:r>
        <w:rPr>
          <w:lang w:val="en-US"/>
        </w:rPr>
        <w:t>out significant domestic supply)</w:t>
      </w:r>
    </w:p>
    <w:p w14:paraId="61BA6FC1" w14:textId="6123AD74" w:rsidR="00E22C5F" w:rsidRDefault="00E22C5F" w:rsidP="0013562B">
      <w:pPr>
        <w:rPr>
          <w:lang w:val="en-US"/>
        </w:rPr>
      </w:pPr>
      <w:r w:rsidRPr="00E22C5F">
        <w:rPr>
          <w:lang w:val="en-US"/>
        </w:rPr>
        <w:t>Dealing with Europe’s ability to secure an adequate supply of critical raw materials (in terms of both supply quantities and prices) is of paramount importance, especially with regard to the foundation they provide for the necessary deployment of RES to achieve decarbonized energy systems. The issue takes on added importance due to security of supply concerns and significant tensions within European energy markets today, largely due to heavy import dependence on fossil fuels from individual exporters</w:t>
      </w:r>
      <w:r>
        <w:rPr>
          <w:lang w:val="en-US"/>
        </w:rPr>
        <w:t xml:space="preserve"> </w:t>
      </w:r>
      <w:r w:rsidRPr="00E22C5F">
        <w:rPr>
          <w:lang w:val="en-US"/>
        </w:rPr>
        <w:t>[2].</w:t>
      </w:r>
    </w:p>
    <w:p w14:paraId="2DB67714" w14:textId="04FD8E8A" w:rsidR="0013562B" w:rsidRPr="00B45FED" w:rsidRDefault="0013562B" w:rsidP="0013562B">
      <w:pPr>
        <w:pStyle w:val="berschrift1"/>
        <w:rPr>
          <w:lang w:val="en-US"/>
        </w:rPr>
      </w:pPr>
      <w:r w:rsidRPr="00B45FED">
        <w:rPr>
          <w:lang w:val="en-US"/>
        </w:rPr>
        <w:t>Core objective</w:t>
      </w:r>
    </w:p>
    <w:p w14:paraId="083CF306" w14:textId="019E989B" w:rsidR="00EE7B5F" w:rsidRDefault="004D7979" w:rsidP="003C6DF7">
      <w:pPr>
        <w:rPr>
          <w:lang w:val="en-US"/>
        </w:rPr>
      </w:pPr>
      <w:r w:rsidRPr="00EE7B5F">
        <w:rPr>
          <w:lang w:val="en-US"/>
        </w:rPr>
        <w:t xml:space="preserve">The aim is to take the next obvious step in building on the CRMA and </w:t>
      </w:r>
      <w:r w:rsidR="00EB63BA" w:rsidRPr="00EE7B5F">
        <w:rPr>
          <w:lang w:val="en-US"/>
        </w:rPr>
        <w:t xml:space="preserve">to </w:t>
      </w:r>
      <w:r w:rsidRPr="00EE7B5F">
        <w:rPr>
          <w:lang w:val="en-US"/>
        </w:rPr>
        <w:t xml:space="preserve">study the global dynamics of the critical raw material markets. In particular, this conference paper </w:t>
      </w:r>
      <w:r w:rsidR="00EB63BA" w:rsidRPr="00EE7B5F">
        <w:rPr>
          <w:lang w:val="en-US"/>
        </w:rPr>
        <w:t>presents</w:t>
      </w:r>
      <w:r w:rsidRPr="00EE7B5F">
        <w:rPr>
          <w:lang w:val="en-US"/>
        </w:rPr>
        <w:t xml:space="preserve"> a new</w:t>
      </w:r>
      <w:r w:rsidR="00EB63BA" w:rsidRPr="00EE7B5F">
        <w:rPr>
          <w:lang w:val="en-US"/>
        </w:rPr>
        <w:t>ly</w:t>
      </w:r>
      <w:r w:rsidRPr="00EE7B5F">
        <w:rPr>
          <w:lang w:val="en-US"/>
        </w:rPr>
        <w:t xml:space="preserve"> d</w:t>
      </w:r>
      <w:r w:rsidR="00EB63BA" w:rsidRPr="00EE7B5F">
        <w:rPr>
          <w:lang w:val="en-US"/>
        </w:rPr>
        <w:t xml:space="preserve">eveloped mathematical model that </w:t>
      </w:r>
      <w:r w:rsidRPr="00EE7B5F">
        <w:rPr>
          <w:lang w:val="en-US"/>
        </w:rPr>
        <w:t xml:space="preserve">allows </w:t>
      </w:r>
      <w:proofErr w:type="gramStart"/>
      <w:r w:rsidR="00CE5CCA" w:rsidRPr="00EE7B5F">
        <w:rPr>
          <w:lang w:val="en-US"/>
        </w:rPr>
        <w:t>to consider</w:t>
      </w:r>
      <w:proofErr w:type="gramEnd"/>
      <w:r w:rsidR="00CE5CCA" w:rsidRPr="00EE7B5F">
        <w:rPr>
          <w:lang w:val="en-US"/>
        </w:rPr>
        <w:t xml:space="preserve"> the</w:t>
      </w:r>
      <w:r w:rsidRPr="00EE7B5F">
        <w:rPr>
          <w:lang w:val="en-US"/>
        </w:rPr>
        <w:t xml:space="preserve"> market equilibrium of critical raw materials </w:t>
      </w:r>
      <w:r w:rsidR="00CE5CCA" w:rsidRPr="00EE7B5F">
        <w:rPr>
          <w:lang w:val="en-US"/>
        </w:rPr>
        <w:t>under</w:t>
      </w:r>
      <w:r w:rsidRPr="00EE7B5F">
        <w:rPr>
          <w:lang w:val="en-US"/>
        </w:rPr>
        <w:t xml:space="preserve"> </w:t>
      </w:r>
      <w:r w:rsidR="00EB63BA" w:rsidRPr="00EE7B5F">
        <w:rPr>
          <w:lang w:val="en-US"/>
        </w:rPr>
        <w:t xml:space="preserve">the </w:t>
      </w:r>
      <w:r w:rsidRPr="00EE7B5F">
        <w:rPr>
          <w:lang w:val="en-US"/>
        </w:rPr>
        <w:t xml:space="preserve">strategic behavior of different market </w:t>
      </w:r>
      <w:r w:rsidR="00CE5CCA" w:rsidRPr="00EE7B5F">
        <w:rPr>
          <w:lang w:val="en-US"/>
        </w:rPr>
        <w:t>participants</w:t>
      </w:r>
      <w:r w:rsidRPr="00EE7B5F">
        <w:rPr>
          <w:lang w:val="en-US"/>
        </w:rPr>
        <w:t xml:space="preserve">. </w:t>
      </w:r>
      <w:r w:rsidR="00CE5CCA" w:rsidRPr="00EE7B5F">
        <w:rPr>
          <w:lang w:val="en-US"/>
        </w:rPr>
        <w:t>In addition</w:t>
      </w:r>
      <w:r w:rsidR="00EB63BA" w:rsidRPr="00EE7B5F">
        <w:rPr>
          <w:lang w:val="en-US"/>
        </w:rPr>
        <w:t xml:space="preserve">, the measures of the CRMA (such as diversification of exporters and strategic stockpiling) </w:t>
      </w:r>
      <w:proofErr w:type="gramStart"/>
      <w:r w:rsidR="00EB63BA" w:rsidRPr="00EE7B5F">
        <w:rPr>
          <w:lang w:val="en-US"/>
        </w:rPr>
        <w:t>are taken</w:t>
      </w:r>
      <w:proofErr w:type="gramEnd"/>
      <w:r w:rsidR="00EB63BA" w:rsidRPr="00EE7B5F">
        <w:rPr>
          <w:lang w:val="en-US"/>
        </w:rPr>
        <w:t xml:space="preserve"> into account for the </w:t>
      </w:r>
      <w:r w:rsidR="00CE5CCA" w:rsidRPr="00EE7B5F">
        <w:rPr>
          <w:lang w:val="en-US"/>
        </w:rPr>
        <w:t xml:space="preserve">equilibrium of the </w:t>
      </w:r>
      <w:r w:rsidR="00EB63BA" w:rsidRPr="00EE7B5F">
        <w:rPr>
          <w:lang w:val="en-US"/>
        </w:rPr>
        <w:t xml:space="preserve">European market. </w:t>
      </w:r>
      <w:r w:rsidR="00EE7B5F" w:rsidRPr="00EE7B5F">
        <w:rPr>
          <w:lang w:val="en-US"/>
        </w:rPr>
        <w:t xml:space="preserve">We take a comprehensive look at the markets for platinum, iridium and scandium. Each of the three materials </w:t>
      </w:r>
      <w:proofErr w:type="gramStart"/>
      <w:r w:rsidR="00EE7B5F" w:rsidRPr="00EE7B5F">
        <w:rPr>
          <w:lang w:val="en-US"/>
        </w:rPr>
        <w:t>is characterized</w:t>
      </w:r>
      <w:proofErr w:type="gramEnd"/>
      <w:r w:rsidR="00EE7B5F" w:rsidRPr="00EE7B5F">
        <w:rPr>
          <w:lang w:val="en-US"/>
        </w:rPr>
        <w:t xml:space="preserve"> by a key role in Europe's 2030 hydrogen target (production of 10 million tons and import of 10 million tons by 2030). By applying our model to these three markets, we provide a mathematical tool to describe the interactions between global markets for critical raw materials and defined decarbonization targets.</w:t>
      </w:r>
      <w:r w:rsidR="001D62BC">
        <w:rPr>
          <w:lang w:val="en-US"/>
        </w:rPr>
        <w:t xml:space="preserve"> </w:t>
      </w:r>
      <w:r w:rsidR="001D62BC" w:rsidRPr="001D62BC">
        <w:rPr>
          <w:lang w:val="en-US"/>
        </w:rPr>
        <w:t xml:space="preserve">More specifically, our analyses provide insights into the </w:t>
      </w:r>
      <w:r w:rsidR="001D62BC" w:rsidRPr="001D62BC">
        <w:rPr>
          <w:lang w:val="en-US"/>
        </w:rPr>
        <w:lastRenderedPageBreak/>
        <w:t>vulnerability of the European and global market to the exercise of market power, and how market power can be mitigated through means such as limiting market share, creating strategic reserves, and developing substitutes and alternative supply chains.</w:t>
      </w:r>
      <w:r w:rsidR="001D62BC">
        <w:rPr>
          <w:lang w:val="en-US"/>
        </w:rPr>
        <w:t xml:space="preserve"> </w:t>
      </w:r>
    </w:p>
    <w:p w14:paraId="6B0DA80C" w14:textId="12A182E1" w:rsidR="00835D3D" w:rsidRPr="0090508C" w:rsidRDefault="00E31DA6" w:rsidP="00835D3D">
      <w:pPr>
        <w:pStyle w:val="berschrift1"/>
        <w:rPr>
          <w:lang w:val="en-US"/>
        </w:rPr>
      </w:pPr>
      <w:r w:rsidRPr="00BC210D">
        <w:rPr>
          <w:lang w:val="en-US"/>
        </w:rPr>
        <w:t>Methodology</w:t>
      </w:r>
    </w:p>
    <w:p w14:paraId="1C5D47B4" w14:textId="3E63EC1C" w:rsidR="0035089C" w:rsidRDefault="008A5956" w:rsidP="00725939">
      <w:pPr>
        <w:rPr>
          <w:lang w:val="en-US"/>
        </w:rPr>
      </w:pPr>
      <w:r w:rsidRPr="008A5956">
        <w:rPr>
          <w:lang w:val="en-US"/>
        </w:rPr>
        <w:t xml:space="preserve">A deterministic bi-level optimization problem </w:t>
      </w:r>
      <w:proofErr w:type="gramStart"/>
      <w:r w:rsidRPr="008A5956">
        <w:rPr>
          <w:lang w:val="en-US"/>
        </w:rPr>
        <w:t>is proposed</w:t>
      </w:r>
      <w:proofErr w:type="gramEnd"/>
      <w:r w:rsidRPr="008A5956">
        <w:rPr>
          <w:lang w:val="en-US"/>
        </w:rPr>
        <w:t xml:space="preserve"> to answer the research questions. The lower-level problem considers the behavior of competitive fringe supply, in which a fixed demand </w:t>
      </w:r>
      <w:proofErr w:type="gramStart"/>
      <w:r w:rsidRPr="008A5956">
        <w:rPr>
          <w:lang w:val="en-US"/>
        </w:rPr>
        <w:t>is met</w:t>
      </w:r>
      <w:proofErr w:type="gramEnd"/>
      <w:r w:rsidRPr="008A5956">
        <w:rPr>
          <w:lang w:val="en-US"/>
        </w:rPr>
        <w:t xml:space="preserve"> by minimizing supply cost by the fringe suppliers, given the upper-level </w:t>
      </w:r>
      <w:r>
        <w:rPr>
          <w:lang w:val="en-US"/>
        </w:rPr>
        <w:t>decisions by the major exporter</w:t>
      </w:r>
      <w:r w:rsidRPr="008A5956">
        <w:rPr>
          <w:lang w:val="en-US"/>
        </w:rPr>
        <w:t xml:space="preserve">.  The leader maximizes its profit and can exercise market power. The main links between the lower-level problem and the upper-level problem are the export price and quantity offered by the major </w:t>
      </w:r>
      <w:r>
        <w:rPr>
          <w:lang w:val="en-US"/>
        </w:rPr>
        <w:t>exporter to the market clearing</w:t>
      </w:r>
      <w:r w:rsidRPr="008A5956">
        <w:rPr>
          <w:lang w:val="en-US"/>
        </w:rPr>
        <w:t xml:space="preserve"> and, in the other direction, the cleared quantity and price (i.e., decision variables from the lower-level, whose dependence on the upper-level variables is recognized by the leader).</w:t>
      </w:r>
    </w:p>
    <w:p w14:paraId="1A65B1FC" w14:textId="77777777" w:rsidR="0099016F" w:rsidRDefault="0099016F" w:rsidP="00725939">
      <w:pPr>
        <w:rPr>
          <w:lang w:val="en-US"/>
        </w:rPr>
      </w:pPr>
    </w:p>
    <w:p w14:paraId="32908DBE" w14:textId="4207491E" w:rsidR="00081E8C" w:rsidRDefault="00081E8C" w:rsidP="006F15CF">
      <w:pPr>
        <w:pStyle w:val="berschrift2"/>
        <w:rPr>
          <w:lang w:val="en-US"/>
        </w:rPr>
      </w:pPr>
      <w:r>
        <w:rPr>
          <w:lang w:val="en-US"/>
        </w:rPr>
        <w:t>Lower</w:t>
      </w:r>
      <w:r w:rsidR="006F15CF">
        <w:rPr>
          <w:lang w:val="en-US"/>
        </w:rPr>
        <w:t>-</w:t>
      </w:r>
      <w:r>
        <w:rPr>
          <w:lang w:val="en-US"/>
        </w:rPr>
        <w:t>level problem</w:t>
      </w:r>
      <w:r w:rsidR="006F15CF">
        <w:rPr>
          <w:lang w:val="en-US"/>
        </w:rPr>
        <w:t>: market clearing at minimized total cost</w:t>
      </w:r>
    </w:p>
    <w:p w14:paraId="2C8CDA5E" w14:textId="77777777" w:rsidR="00D52552" w:rsidRPr="00D52552" w:rsidRDefault="00D52552" w:rsidP="00D52552">
      <w:pPr>
        <w:rPr>
          <w:lang w:val="en-US"/>
        </w:rPr>
      </w:pPr>
    </w:p>
    <w:p w14:paraId="5C224D0D" w14:textId="056FFC75" w:rsidR="006C0A09" w:rsidRPr="00C90231" w:rsidRDefault="00AF4B04" w:rsidP="006C0A09">
      <w:pPr>
        <w:rPr>
          <w:lang w:val="en-US"/>
        </w:rPr>
      </w:pPr>
      <m:oMathPara>
        <m:oMathParaPr>
          <m:jc m:val="center"/>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x</m:t>
                  </m:r>
                </m:lim>
              </m:limLow>
            </m:fName>
            <m:e>
              <m:r>
                <w:rPr>
                  <w:rFonts w:ascii="Cambria Math" w:hAnsi="Cambria Math"/>
                  <w:lang w:val="en-US"/>
                </w:rPr>
                <m:t>GenerationCostExporter+MaintenanceCostFringeExporter+StockpilingCostEurope</m:t>
              </m:r>
            </m:e>
          </m:func>
        </m:oMath>
      </m:oMathPara>
    </w:p>
    <w:p w14:paraId="3434B76C" w14:textId="1661D788" w:rsidR="00C90231" w:rsidRPr="00C03840" w:rsidRDefault="00C90231" w:rsidP="006C0A09">
      <w:pPr>
        <w:rPr>
          <w:lang w:val="en-US"/>
        </w:rPr>
      </w:pPr>
      <m:oMathPara>
        <m:oMathParaPr>
          <m:jc m:val="center"/>
        </m:oMathParaPr>
        <m:oMath>
          <m:r>
            <w:rPr>
              <w:rFonts w:ascii="Cambria Math" w:hAnsi="Cambria Math"/>
              <w:lang w:val="en-US"/>
            </w:rPr>
            <m:t>x=[ExportQuantity, ExportCapacity, MarketArbitrage, StockEurope,…]</m:t>
          </m:r>
        </m:oMath>
      </m:oMathPara>
    </w:p>
    <w:p w14:paraId="429628EA" w14:textId="77777777" w:rsidR="00C03840" w:rsidRPr="00DB2D65" w:rsidRDefault="00C03840" w:rsidP="006C0A09">
      <w:pPr>
        <w:rPr>
          <w:lang w:val="en-US"/>
        </w:rPr>
      </w:pPr>
    </w:p>
    <w:p w14:paraId="6A4658F3" w14:textId="4ED65F7E" w:rsidR="00DB2D65" w:rsidRPr="00DB2D65" w:rsidRDefault="00DB2D65" w:rsidP="006C0A09">
      <w:pPr>
        <w:rPr>
          <w:lang w:val="en-US"/>
        </w:rPr>
      </w:pPr>
      <m:oMathPara>
        <m:oMathParaPr>
          <m:jc m:val="left"/>
        </m:oMathParaPr>
        <m:oMath>
          <m:r>
            <w:rPr>
              <w:rFonts w:ascii="Cambria Math" w:hAnsi="Cambria Math"/>
              <w:lang w:val="en-US"/>
            </w:rPr>
            <m:t>GenerationCostExporter…Minimize the total cost satisfying the demand of the European and global market</m:t>
          </m:r>
        </m:oMath>
      </m:oMathPara>
    </w:p>
    <w:p w14:paraId="283C6A19" w14:textId="70421F16" w:rsidR="00DB2D65" w:rsidRPr="00B15E1E" w:rsidRDefault="00DB2D65" w:rsidP="006C0A09">
      <w:pPr>
        <w:rPr>
          <w:lang w:val="en-US"/>
        </w:rPr>
      </w:pPr>
      <m:oMathPara>
        <m:oMath>
          <m:r>
            <w:rPr>
              <w:rFonts w:ascii="Cambria Math" w:hAnsi="Cambria Math"/>
              <w:lang w:val="en-US"/>
            </w:rPr>
            <m:t>MaintenanceCostFringeExporter…Maintenance cost of the fringe exporters for available export capacity</m:t>
          </m:r>
        </m:oMath>
      </m:oMathPara>
    </w:p>
    <w:p w14:paraId="33AF7712" w14:textId="1C738D94" w:rsidR="00B15E1E" w:rsidRPr="00C03840" w:rsidRDefault="00B15E1E" w:rsidP="006C0A09">
      <w:pPr>
        <w:rPr>
          <w:lang w:val="en-US"/>
        </w:rPr>
      </w:pPr>
      <m:oMathPara>
        <m:oMath>
          <m:r>
            <w:rPr>
              <w:rFonts w:ascii="Cambria Math" w:hAnsi="Cambria Math"/>
              <w:lang w:val="en-US"/>
            </w:rPr>
            <m:t>StockpilingCostEurope…Stockpiling cost for the European market</m:t>
          </m:r>
        </m:oMath>
      </m:oMathPara>
    </w:p>
    <w:p w14:paraId="180B2F26" w14:textId="7732F34C" w:rsidR="00C03840" w:rsidRPr="00C03840" w:rsidRDefault="00C03840" w:rsidP="006C0A09">
      <w:pPr>
        <w:rPr>
          <w:lang w:val="en-US"/>
        </w:rPr>
      </w:pPr>
      <m:oMathPara>
        <m:oMath>
          <m:r>
            <w:rPr>
              <w:rFonts w:ascii="Cambria Math" w:hAnsi="Cambria Math"/>
              <w:lang w:val="en-US"/>
            </w:rPr>
            <m:t>MarketArbitrage…Arbitrage between the European and the global market (i.e., no price discrimination)</m:t>
          </m:r>
        </m:oMath>
      </m:oMathPara>
    </w:p>
    <w:p w14:paraId="78ACAB1C" w14:textId="4C861F2B" w:rsidR="00C03840" w:rsidRPr="00D52552" w:rsidRDefault="00C03840" w:rsidP="006C0A09">
      <w:pPr>
        <w:rPr>
          <w:lang w:val="en-US"/>
        </w:rPr>
      </w:pPr>
      <m:oMathPara>
        <m:oMath>
          <m:r>
            <w:rPr>
              <w:rFonts w:ascii="Cambria Math" w:hAnsi="Cambria Math"/>
              <w:lang w:val="en-US"/>
            </w:rPr>
            <m:t>StockEurope…Quantity of stockpiling for the European market</m:t>
          </m:r>
        </m:oMath>
      </m:oMathPara>
    </w:p>
    <w:p w14:paraId="50668565" w14:textId="77777777" w:rsidR="00D52552" w:rsidRPr="00B15E1E" w:rsidRDefault="00D52552" w:rsidP="006C0A09">
      <w:pPr>
        <w:rPr>
          <w:lang w:val="en-US"/>
        </w:rPr>
      </w:pPr>
    </w:p>
    <w:p w14:paraId="2D428468" w14:textId="32A21327" w:rsidR="00081E8C" w:rsidRDefault="006F15CF" w:rsidP="006F15CF">
      <w:pPr>
        <w:pStyle w:val="berschrift2"/>
        <w:rPr>
          <w:lang w:val="en-US"/>
        </w:rPr>
      </w:pPr>
      <w:r>
        <w:rPr>
          <w:lang w:val="en-US"/>
        </w:rPr>
        <w:t>Upper-</w:t>
      </w:r>
      <w:r w:rsidR="00081E8C">
        <w:rPr>
          <w:lang w:val="en-US"/>
        </w:rPr>
        <w:t>level problem</w:t>
      </w:r>
      <w:r>
        <w:rPr>
          <w:lang w:val="en-US"/>
        </w:rPr>
        <w:t>: profit maximization of the major exporter</w:t>
      </w:r>
    </w:p>
    <w:p w14:paraId="0EC59231" w14:textId="77777777" w:rsidR="00D52552" w:rsidRPr="00D52552" w:rsidRDefault="00D52552" w:rsidP="00D52552">
      <w:pPr>
        <w:rPr>
          <w:lang w:val="en-US"/>
        </w:rPr>
      </w:pPr>
    </w:p>
    <w:p w14:paraId="1F8FA2D2" w14:textId="13CA90A4" w:rsidR="00496D18" w:rsidRPr="00C90231" w:rsidRDefault="00AF4B04" w:rsidP="00496D18">
      <w:pPr>
        <w:rPr>
          <w:lang w:val="en-US"/>
        </w:rPr>
      </w:pPr>
      <m:oMathPara>
        <m:oMathParaPr>
          <m:jc m:val="center"/>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y</m:t>
                  </m:r>
                </m:lim>
              </m:limLow>
            </m:fName>
            <m:e>
              <m:acc>
                <m:accPr>
                  <m:chr m:val="̃"/>
                  <m:ctrlPr>
                    <w:rPr>
                      <w:rFonts w:ascii="Cambria Math" w:hAnsi="Cambria Math"/>
                      <w:i/>
                      <w:lang w:val="en-US"/>
                    </w:rPr>
                  </m:ctrlPr>
                </m:accPr>
                <m:e>
                  <m:r>
                    <w:rPr>
                      <w:rFonts w:ascii="Cambria Math" w:hAnsi="Cambria Math"/>
                      <w:lang w:val="en-US"/>
                    </w:rPr>
                    <m:t>ExportQuantity</m:t>
                  </m:r>
                </m:e>
              </m:acc>
              <m:r>
                <w:rPr>
                  <w:rFonts w:ascii="Cambria Math" w:hAnsi="Cambria Math"/>
                  <w:lang w:val="en-US"/>
                </w:rPr>
                <m:t>* MarketClearingPrice</m:t>
              </m:r>
            </m:e>
          </m:func>
        </m:oMath>
      </m:oMathPara>
    </w:p>
    <w:p w14:paraId="6A8ADAA6" w14:textId="06C76C7F" w:rsidR="004B7EAB" w:rsidRPr="00D52552" w:rsidRDefault="004B7EAB" w:rsidP="004B7EAB">
      <w:pPr>
        <w:rPr>
          <w:lang w:val="en-US"/>
        </w:rPr>
      </w:pPr>
      <m:oMathPara>
        <m:oMathParaPr>
          <m:jc m:val="center"/>
        </m:oMathParaPr>
        <m:oMath>
          <m:r>
            <w:rPr>
              <w:rFonts w:ascii="Cambria Math" w:hAnsi="Cambria Math"/>
              <w:lang w:val="en-US"/>
            </w:rPr>
            <m:t xml:space="preserve"> y=[</m:t>
          </m:r>
          <m:acc>
            <m:accPr>
              <m:chr m:val="̃"/>
              <m:ctrlPr>
                <w:rPr>
                  <w:rFonts w:ascii="Cambria Math" w:hAnsi="Cambria Math"/>
                  <w:i/>
                  <w:lang w:val="en-US"/>
                </w:rPr>
              </m:ctrlPr>
            </m:accPr>
            <m:e>
              <m:r>
                <w:rPr>
                  <w:rFonts w:ascii="Cambria Math" w:hAnsi="Cambria Math"/>
                  <w:lang w:val="en-US"/>
                </w:rPr>
                <m:t>MarginalExportCost</m:t>
              </m:r>
            </m:e>
          </m:acc>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ExportQuantity</m:t>
              </m:r>
            </m:e>
          </m:acc>
          <m:r>
            <w:rPr>
              <w:rFonts w:ascii="Cambria Math" w:hAnsi="Cambria Math"/>
              <w:lang w:val="en-US"/>
            </w:rPr>
            <m:t>]</m:t>
          </m:r>
        </m:oMath>
      </m:oMathPara>
    </w:p>
    <w:p w14:paraId="34D3BB8E" w14:textId="77777777" w:rsidR="00D52552" w:rsidRPr="009462AD" w:rsidRDefault="00D52552" w:rsidP="004B7EAB">
      <w:pPr>
        <w:rPr>
          <w:lang w:val="en-US"/>
        </w:rPr>
      </w:pPr>
    </w:p>
    <w:p w14:paraId="1B9C6345" w14:textId="3696F1DA" w:rsidR="00D52552" w:rsidRPr="00D52552" w:rsidRDefault="00AF4B04" w:rsidP="004B7EAB">
      <w:pPr>
        <w:rPr>
          <w:lang w:val="en-US"/>
        </w:rPr>
      </w:pPr>
      <m:oMathPara>
        <m:oMath>
          <m:acc>
            <m:accPr>
              <m:chr m:val="̃"/>
              <m:ctrlPr>
                <w:rPr>
                  <w:rFonts w:ascii="Cambria Math" w:hAnsi="Cambria Math"/>
                  <w:i/>
                  <w:lang w:val="en-US"/>
                </w:rPr>
              </m:ctrlPr>
            </m:accPr>
            <m:e>
              <m:r>
                <w:rPr>
                  <w:rFonts w:ascii="Cambria Math" w:hAnsi="Cambria Math"/>
                  <w:lang w:val="en-US"/>
                </w:rPr>
                <m:t>ExportQuantity…</m:t>
              </m:r>
            </m:e>
          </m:acc>
          <m:r>
            <w:rPr>
              <w:rFonts w:ascii="Cambria Math" w:hAnsi="Cambria Math"/>
              <w:lang w:val="en-US"/>
            </w:rPr>
            <m:t xml:space="preserve">Export </m:t>
          </m:r>
          <m:d>
            <m:dPr>
              <m:ctrlPr>
                <w:rPr>
                  <w:rFonts w:ascii="Cambria Math" w:hAnsi="Cambria Math"/>
                  <w:i/>
                  <w:lang w:val="en-US"/>
                </w:rPr>
              </m:ctrlPr>
            </m:dPr>
            <m:e>
              <m:r>
                <w:rPr>
                  <w:rFonts w:ascii="Cambria Math" w:hAnsi="Cambria Math"/>
                  <w:lang w:val="en-US"/>
                </w:rPr>
                <m:t>or supply</m:t>
              </m:r>
            </m:e>
          </m:d>
          <m:r>
            <w:rPr>
              <w:rFonts w:ascii="Cambria Math" w:hAnsi="Cambria Math"/>
              <w:lang w:val="en-US"/>
            </w:rPr>
            <m:t xml:space="preserve"> quantity of the major exporter for the European and global market </m:t>
          </m:r>
        </m:oMath>
      </m:oMathPara>
    </w:p>
    <w:p w14:paraId="7100526F" w14:textId="1486E436" w:rsidR="009462AD" w:rsidRPr="00D52552" w:rsidRDefault="00D52552" w:rsidP="004B7EAB">
      <w:pPr>
        <w:rPr>
          <w:lang w:val="en-US"/>
        </w:rPr>
      </w:pPr>
      <m:oMathPara>
        <m:oMathParaPr>
          <m:jc m:val="left"/>
        </m:oMathParaPr>
        <m:oMath>
          <m:r>
            <w:rPr>
              <w:rFonts w:ascii="Cambria Math" w:hAnsi="Cambria Math"/>
              <w:lang w:val="en-US"/>
            </w:rPr>
            <m:t xml:space="preserve">MarketClearingPrice…Market Clearing price (result of the optimal descision ofthe lower‒level problem) </m:t>
          </m:r>
        </m:oMath>
      </m:oMathPara>
    </w:p>
    <w:p w14:paraId="5542644A" w14:textId="025D9A1A" w:rsidR="009462AD" w:rsidRPr="0099016F" w:rsidRDefault="00AF4B04" w:rsidP="004B7EAB">
      <w:pPr>
        <w:rPr>
          <w:lang w:val="en-US"/>
        </w:rPr>
      </w:pPr>
      <m:oMathPara>
        <m:oMath>
          <m:acc>
            <m:accPr>
              <m:chr m:val="̃"/>
              <m:ctrlPr>
                <w:rPr>
                  <w:rFonts w:ascii="Cambria Math" w:hAnsi="Cambria Math"/>
                  <w:i/>
                  <w:lang w:val="en-US"/>
                </w:rPr>
              </m:ctrlPr>
            </m:accPr>
            <m:e>
              <m:r>
                <w:rPr>
                  <w:rFonts w:ascii="Cambria Math" w:hAnsi="Cambria Math"/>
                  <w:lang w:val="en-US"/>
                </w:rPr>
                <m:t>MarginalExportCost</m:t>
              </m:r>
            </m:e>
          </m:acc>
          <m:r>
            <w:rPr>
              <w:rFonts w:ascii="Cambria Math" w:hAnsi="Cambria Math"/>
              <w:lang w:val="en-US"/>
            </w:rPr>
            <m:t xml:space="preserve">…Marginal export </m:t>
          </m:r>
          <m:d>
            <m:dPr>
              <m:ctrlPr>
                <w:rPr>
                  <w:rFonts w:ascii="Cambria Math" w:hAnsi="Cambria Math"/>
                  <w:i/>
                  <w:lang w:val="en-US"/>
                </w:rPr>
              </m:ctrlPr>
            </m:dPr>
            <m:e>
              <m:r>
                <w:rPr>
                  <w:rFonts w:ascii="Cambria Math" w:hAnsi="Cambria Math"/>
                  <w:lang w:val="en-US"/>
                </w:rPr>
                <m:t>or supply</m:t>
              </m:r>
            </m:e>
          </m:d>
          <m:r>
            <w:rPr>
              <w:rFonts w:ascii="Cambria Math" w:hAnsi="Cambria Math"/>
              <w:lang w:val="en-US"/>
            </w:rPr>
            <m:t xml:space="preserve"> cost of the major exporter</m:t>
          </m:r>
        </m:oMath>
      </m:oMathPara>
    </w:p>
    <w:p w14:paraId="5A7FFE96" w14:textId="77777777" w:rsidR="0099016F" w:rsidRPr="00D52552" w:rsidRDefault="0099016F" w:rsidP="004B7EAB">
      <w:pPr>
        <w:rPr>
          <w:lang w:val="en-US"/>
        </w:rPr>
      </w:pPr>
    </w:p>
    <w:p w14:paraId="7751769F" w14:textId="1C45B349" w:rsidR="0035089C" w:rsidRPr="00317460" w:rsidRDefault="00317460" w:rsidP="0035089C">
      <w:pPr>
        <w:pStyle w:val="berschrift1"/>
        <w:rPr>
          <w:lang w:val="en-US"/>
        </w:rPr>
      </w:pPr>
      <w:r>
        <w:rPr>
          <w:lang w:val="en-US"/>
        </w:rPr>
        <w:t>References</w:t>
      </w:r>
    </w:p>
    <w:p w14:paraId="7320279C" w14:textId="273E1CB0" w:rsidR="00C86197" w:rsidRPr="00317460" w:rsidRDefault="008E755F" w:rsidP="008E755F">
      <w:pPr>
        <w:pStyle w:val="Referenzen"/>
        <w:rPr>
          <w:lang w:val="en-US"/>
        </w:rPr>
      </w:pPr>
      <w:r w:rsidRPr="00317460">
        <w:rPr>
          <w:lang w:val="en-US"/>
        </w:rPr>
        <w:t>European Commission, “Critical Raw Materials: ensuring secure and sustainable supply chains for EU's green and digital future.</w:t>
      </w:r>
      <w:proofErr w:type="gramStart"/>
      <w:r w:rsidRPr="00317460">
        <w:rPr>
          <w:lang w:val="en-US"/>
        </w:rPr>
        <w:t>”,</w:t>
      </w:r>
      <w:proofErr w:type="gramEnd"/>
      <w:r w:rsidRPr="00317460">
        <w:rPr>
          <w:lang w:val="en-US"/>
        </w:rPr>
        <w:t xml:space="preserve"> 2023, online available under: https://ec.europa.eu/commission/presscorner/detail/en/ip_23_1661.</w:t>
      </w:r>
    </w:p>
    <w:p w14:paraId="06A707D9" w14:textId="63943B9E" w:rsidR="008E755F" w:rsidRPr="00317460" w:rsidRDefault="008E755F" w:rsidP="000B7D16">
      <w:pPr>
        <w:pStyle w:val="Referenzen"/>
        <w:rPr>
          <w:lang w:val="en-US"/>
        </w:rPr>
      </w:pPr>
      <w:r w:rsidRPr="00317460">
        <w:rPr>
          <w:lang w:val="en-US"/>
        </w:rPr>
        <w:t xml:space="preserve">M. Hafner, and S. Tagliapietra, “The Geopolitics of the Global Energy Transition.”, Springer Nature, 2020, doi: 10.1007/978-3-030-39066-2. </w:t>
      </w:r>
    </w:p>
    <w:sectPr w:rsidR="008E755F" w:rsidRPr="0031746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79B47" w14:textId="77777777" w:rsidR="00AF4B04" w:rsidRDefault="00AF4B04">
      <w:pPr>
        <w:spacing w:after="0" w:line="240" w:lineRule="auto"/>
      </w:pPr>
      <w:r>
        <w:separator/>
      </w:r>
    </w:p>
  </w:endnote>
  <w:endnote w:type="continuationSeparator" w:id="0">
    <w:p w14:paraId="621F3062" w14:textId="77777777" w:rsidR="00AF4B04" w:rsidRDefault="00AF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2D6C7" w14:textId="77777777" w:rsidR="00AF4B04" w:rsidRDefault="00AF4B04">
      <w:pPr>
        <w:spacing w:after="0" w:line="240" w:lineRule="auto"/>
      </w:pPr>
      <w:r>
        <w:separator/>
      </w:r>
    </w:p>
  </w:footnote>
  <w:footnote w:type="continuationSeparator" w:id="0">
    <w:p w14:paraId="0BB7180E" w14:textId="77777777" w:rsidR="00AF4B04" w:rsidRDefault="00AF4B04">
      <w:pPr>
        <w:spacing w:after="0" w:line="240" w:lineRule="auto"/>
      </w:pPr>
      <w:r>
        <w:continuationSeparator/>
      </w:r>
    </w:p>
  </w:footnote>
  <w:footnote w:id="1">
    <w:p w14:paraId="699266FE" w14:textId="33238874" w:rsidR="00725939" w:rsidRPr="0097280D" w:rsidRDefault="00725939" w:rsidP="00314204">
      <w:pPr>
        <w:pStyle w:val="Organisation"/>
      </w:pPr>
      <w:r>
        <w:rPr>
          <w:rStyle w:val="Funotenzeichen"/>
        </w:rPr>
        <w:footnoteRef/>
      </w:r>
      <w:r w:rsidR="00314204">
        <w:t xml:space="preserve"> </w:t>
      </w:r>
      <w:r w:rsidR="0094349C" w:rsidRPr="0094349C">
        <w:t>Energy Economics Group (EEG), Technische Universität Wien,</w:t>
      </w:r>
      <w:r w:rsidR="0094349C">
        <w:t xml:space="preserve"> </w:t>
      </w:r>
      <w:r w:rsidR="0094349C" w:rsidRPr="0094349C">
        <w:t>Gu</w:t>
      </w:r>
      <w:r w:rsidR="0094349C">
        <w:t>ß</w:t>
      </w:r>
      <w:r w:rsidR="0094349C" w:rsidRPr="0094349C">
        <w:t>hausstraße 25-29/E370-3, 1040 Wien, Austria</w:t>
      </w:r>
    </w:p>
  </w:footnote>
  <w:footnote w:id="2">
    <w:p w14:paraId="3085FF75" w14:textId="391F105F" w:rsidR="00725939" w:rsidRPr="0094349C" w:rsidRDefault="00725939" w:rsidP="00314204">
      <w:pPr>
        <w:pStyle w:val="Organisation"/>
        <w:rPr>
          <w:lang w:val="en-US"/>
        </w:rPr>
      </w:pPr>
      <w:r>
        <w:rPr>
          <w:rStyle w:val="Funotenzeichen"/>
        </w:rPr>
        <w:footnoteRef/>
      </w:r>
      <w:r w:rsidR="00314204" w:rsidRPr="0094349C">
        <w:rPr>
          <w:lang w:val="en-US"/>
        </w:rPr>
        <w:t xml:space="preserve"> </w:t>
      </w:r>
      <w:r w:rsidR="0094349C" w:rsidRPr="0094349C">
        <w:rPr>
          <w:lang w:val="en-US"/>
        </w:rPr>
        <w:t xml:space="preserve">Robert Schuman Centre for Advanced Studies, European University Institute, Via </w:t>
      </w:r>
      <w:proofErr w:type="spellStart"/>
      <w:r w:rsidR="0094349C" w:rsidRPr="0094349C">
        <w:rPr>
          <w:lang w:val="en-US"/>
        </w:rPr>
        <w:t>dei</w:t>
      </w:r>
      <w:proofErr w:type="spellEnd"/>
      <w:r w:rsidR="0094349C" w:rsidRPr="0094349C">
        <w:rPr>
          <w:lang w:val="en-US"/>
        </w:rPr>
        <w:t xml:space="preserve"> </w:t>
      </w:r>
      <w:proofErr w:type="spellStart"/>
      <w:r w:rsidR="0094349C" w:rsidRPr="0094349C">
        <w:rPr>
          <w:lang w:val="en-US"/>
        </w:rPr>
        <w:t>Roccettini</w:t>
      </w:r>
      <w:proofErr w:type="spellEnd"/>
      <w:r w:rsidR="0094349C" w:rsidRPr="0094349C">
        <w:rPr>
          <w:lang w:val="en-US"/>
        </w:rPr>
        <w:t xml:space="preserve"> 9,</w:t>
      </w:r>
      <w:r w:rsidR="0094349C">
        <w:rPr>
          <w:lang w:val="en-US"/>
        </w:rPr>
        <w:t xml:space="preserve"> I</w:t>
      </w:r>
      <w:r w:rsidR="0094349C" w:rsidRPr="0094349C">
        <w:rPr>
          <w:lang w:val="en-US"/>
        </w:rPr>
        <w:t>-50014 San Domenico di Fiesole, Italy</w:t>
      </w:r>
    </w:p>
  </w:footnote>
  <w:footnote w:id="3">
    <w:p w14:paraId="13984DA9" w14:textId="2078B352" w:rsidR="0094349C" w:rsidRPr="0094349C" w:rsidRDefault="00CF3243" w:rsidP="0094349C">
      <w:pPr>
        <w:pStyle w:val="Funotentext"/>
        <w:rPr>
          <w:lang w:val="en-US"/>
        </w:rPr>
      </w:pPr>
      <w:r>
        <w:rPr>
          <w:rStyle w:val="Funotenzeichen"/>
        </w:rPr>
        <w:footnoteRef/>
      </w:r>
      <w:r w:rsidRPr="0094349C">
        <w:rPr>
          <w:lang w:val="en-US"/>
        </w:rPr>
        <w:t xml:space="preserve"> </w:t>
      </w:r>
      <w:r w:rsidR="0094349C" w:rsidRPr="0094349C">
        <w:rPr>
          <w:lang w:val="en-US"/>
        </w:rPr>
        <w:t>Department of Environmental Health &amp; Engineering, The Johns Hopkins University, Ames Hall 313,</w:t>
      </w:r>
    </w:p>
    <w:p w14:paraId="6019E61E" w14:textId="54E8129A" w:rsidR="00CF3243" w:rsidRPr="0094349C" w:rsidRDefault="0094349C" w:rsidP="0094349C">
      <w:pPr>
        <w:pStyle w:val="Funotentext"/>
        <w:rPr>
          <w:lang w:val="en-US"/>
        </w:rPr>
      </w:pPr>
      <w:r w:rsidRPr="0094349C">
        <w:rPr>
          <w:lang w:val="en-US"/>
        </w:rPr>
        <w:t>3400 North Charles Street, Baltimore, MD 21218, USA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9DB2A" w14:textId="210BEB31" w:rsidR="00E97C16" w:rsidRPr="00E97C16" w:rsidRDefault="00E97C16" w:rsidP="00E97C16">
    <w:pPr>
      <w:pStyle w:val="Kopfzeile"/>
      <w:tabs>
        <w:tab w:val="right" w:pos="9000"/>
      </w:tabs>
      <w:rPr>
        <w:u w:val="single"/>
      </w:rPr>
    </w:pPr>
    <w:r>
      <w:rPr>
        <w:u w:val="single"/>
      </w:rPr>
      <w:t>1</w:t>
    </w:r>
    <w:r w:rsidR="00DF2EAE">
      <w:rPr>
        <w:u w:val="single"/>
      </w:rPr>
      <w:t>8</w:t>
    </w:r>
    <w:r w:rsidRPr="0035186B">
      <w:rPr>
        <w:u w:val="single"/>
      </w:rPr>
      <w:t>.</w:t>
    </w:r>
    <w:r>
      <w:rPr>
        <w:u w:val="single"/>
      </w:rPr>
      <w:t xml:space="preserve"> Symposium Energieinnovation, 1</w:t>
    </w:r>
    <w:r w:rsidR="00DF2EAE">
      <w:rPr>
        <w:u w:val="single"/>
      </w:rPr>
      <w:t>4</w:t>
    </w:r>
    <w:r w:rsidRPr="0035186B">
      <w:rPr>
        <w:u w:val="single"/>
      </w:rPr>
      <w:t>.-1</w:t>
    </w:r>
    <w:r w:rsidR="00DF2EAE">
      <w:rPr>
        <w:u w:val="single"/>
      </w:rPr>
      <w:t>6</w:t>
    </w:r>
    <w:r w:rsidRPr="0035186B">
      <w:rPr>
        <w:u w:val="single"/>
      </w:rPr>
      <w:t>.</w:t>
    </w:r>
    <w:r>
      <w:rPr>
        <w:u w:val="single"/>
      </w:rPr>
      <w:t>0</w:t>
    </w:r>
    <w:r w:rsidRPr="0035186B">
      <w:rPr>
        <w:u w:val="single"/>
      </w:rPr>
      <w:t>2.20</w:t>
    </w:r>
    <w:r w:rsidR="00B37655">
      <w:rPr>
        <w:u w:val="single"/>
      </w:rPr>
      <w:t>2</w:t>
    </w:r>
    <w:r w:rsidR="00DF2EAE">
      <w:rPr>
        <w:u w:val="single"/>
      </w:rPr>
      <w:t>4</w:t>
    </w:r>
    <w:r w:rsidRPr="0035186B">
      <w:rPr>
        <w:u w:val="single"/>
      </w:rPr>
      <w:t>, Graz/Austria</w:t>
    </w:r>
    <w:r w:rsidRPr="0035186B">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B57"/>
    <w:multiLevelType w:val="multilevel"/>
    <w:tmpl w:val="0C07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7D3DBF"/>
    <w:multiLevelType w:val="multilevel"/>
    <w:tmpl w:val="0C07001D"/>
    <w:lvl w:ilvl="0">
      <w:start w:val="1"/>
      <w:numFmt w:val="decimal"/>
      <w:lvlText w:val="%1)"/>
      <w:lvlJc w:val="left"/>
      <w:pPr>
        <w:ind w:left="360" w:hanging="360"/>
      </w:pPr>
      <w:rPr>
        <w:rFonts w:ascii="Arial" w:hAnsi="Arial"/>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1D7D00"/>
    <w:multiLevelType w:val="hybridMultilevel"/>
    <w:tmpl w:val="E3CED3E6"/>
    <w:lvl w:ilvl="0" w:tplc="9B34B07E">
      <w:start w:val="1"/>
      <w:numFmt w:val="bullet"/>
      <w:pStyle w:val="Listenabsatz"/>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0ED52A56"/>
    <w:multiLevelType w:val="multilevel"/>
    <w:tmpl w:val="739494F4"/>
    <w:lvl w:ilvl="0">
      <w:start w:val="1"/>
      <w:numFmt w:val="decimal"/>
      <w:lvlText w:val="%1)"/>
      <w:lvlJc w:val="left"/>
      <w:pPr>
        <w:ind w:left="1004" w:hanging="360"/>
      </w:pPr>
      <w:rPr>
        <w:rFonts w:ascii="Arial" w:hAnsi="Arial"/>
        <w:sz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15:restartNumberingAfterBreak="0">
    <w:nsid w:val="12ED4D70"/>
    <w:multiLevelType w:val="multilevel"/>
    <w:tmpl w:val="739494F4"/>
    <w:lvl w:ilvl="0">
      <w:start w:val="1"/>
      <w:numFmt w:val="decimal"/>
      <w:lvlText w:val="%1)"/>
      <w:lvlJc w:val="left"/>
      <w:pPr>
        <w:ind w:left="1004" w:hanging="360"/>
      </w:pPr>
      <w:rPr>
        <w:rFonts w:ascii="Arial" w:hAnsi="Arial"/>
        <w:sz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192968CB"/>
    <w:multiLevelType w:val="multilevel"/>
    <w:tmpl w:val="0C07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81E2EE6"/>
    <w:multiLevelType w:val="hybridMultilevel"/>
    <w:tmpl w:val="FC12C4D6"/>
    <w:lvl w:ilvl="0" w:tplc="BCF6C3AE">
      <w:start w:val="1"/>
      <w:numFmt w:val="decimal"/>
      <w:pStyle w:val="Referenze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93C1D36"/>
    <w:multiLevelType w:val="hybridMultilevel"/>
    <w:tmpl w:val="D3FE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44518"/>
    <w:multiLevelType w:val="hybridMultilevel"/>
    <w:tmpl w:val="EFDED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E913949"/>
    <w:multiLevelType w:val="hybridMultilevel"/>
    <w:tmpl w:val="EDAA440C"/>
    <w:lvl w:ilvl="0" w:tplc="FAE26900">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97526"/>
    <w:multiLevelType w:val="multilevel"/>
    <w:tmpl w:val="0C07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E047119"/>
    <w:multiLevelType w:val="hybridMultilevel"/>
    <w:tmpl w:val="47C81FA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Lucida Grand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ucida Grand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ucida Grand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C808C6"/>
    <w:multiLevelType w:val="hybridMultilevel"/>
    <w:tmpl w:val="8AA2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21AFF"/>
    <w:multiLevelType w:val="multilevel"/>
    <w:tmpl w:val="47C81FA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Lucida Grand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Lucida Grande"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D05623"/>
    <w:multiLevelType w:val="multilevel"/>
    <w:tmpl w:val="0C07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C035545"/>
    <w:multiLevelType w:val="multilevel"/>
    <w:tmpl w:val="0C07001D"/>
    <w:lvl w:ilvl="0">
      <w:start w:val="1"/>
      <w:numFmt w:val="decimal"/>
      <w:lvlText w:val="%1)"/>
      <w:lvlJc w:val="left"/>
      <w:pPr>
        <w:ind w:left="360" w:hanging="360"/>
      </w:pPr>
      <w:rPr>
        <w:rFonts w:ascii="Arial" w:hAnsi="Arial"/>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D972B1"/>
    <w:multiLevelType w:val="hybridMultilevel"/>
    <w:tmpl w:val="739494F4"/>
    <w:lvl w:ilvl="0" w:tplc="F48410C0">
      <w:start w:val="1"/>
      <w:numFmt w:val="decimal"/>
      <w:pStyle w:val="Nummerierung"/>
      <w:lvlText w:val="%1)"/>
      <w:lvlJc w:val="left"/>
      <w:pPr>
        <w:ind w:left="1004" w:hanging="360"/>
      </w:pPr>
    </w:lvl>
    <w:lvl w:ilvl="1" w:tplc="0C070019" w:tentative="1">
      <w:start w:val="1"/>
      <w:numFmt w:val="lowerLetter"/>
      <w:lvlText w:val="%2."/>
      <w:lvlJc w:val="left"/>
      <w:pPr>
        <w:ind w:left="1724" w:hanging="360"/>
      </w:pPr>
    </w:lvl>
    <w:lvl w:ilvl="2" w:tplc="0C07001B" w:tentative="1">
      <w:start w:val="1"/>
      <w:numFmt w:val="lowerRoman"/>
      <w:lvlText w:val="%3."/>
      <w:lvlJc w:val="right"/>
      <w:pPr>
        <w:ind w:left="2444" w:hanging="180"/>
      </w:pPr>
    </w:lvl>
    <w:lvl w:ilvl="3" w:tplc="0C07000F" w:tentative="1">
      <w:start w:val="1"/>
      <w:numFmt w:val="decimal"/>
      <w:lvlText w:val="%4."/>
      <w:lvlJc w:val="left"/>
      <w:pPr>
        <w:ind w:left="3164" w:hanging="360"/>
      </w:pPr>
    </w:lvl>
    <w:lvl w:ilvl="4" w:tplc="0C070019" w:tentative="1">
      <w:start w:val="1"/>
      <w:numFmt w:val="lowerLetter"/>
      <w:lvlText w:val="%5."/>
      <w:lvlJc w:val="left"/>
      <w:pPr>
        <w:ind w:left="3884" w:hanging="360"/>
      </w:pPr>
    </w:lvl>
    <w:lvl w:ilvl="5" w:tplc="0C07001B" w:tentative="1">
      <w:start w:val="1"/>
      <w:numFmt w:val="lowerRoman"/>
      <w:lvlText w:val="%6."/>
      <w:lvlJc w:val="right"/>
      <w:pPr>
        <w:ind w:left="4604" w:hanging="180"/>
      </w:pPr>
    </w:lvl>
    <w:lvl w:ilvl="6" w:tplc="0C07000F" w:tentative="1">
      <w:start w:val="1"/>
      <w:numFmt w:val="decimal"/>
      <w:lvlText w:val="%7."/>
      <w:lvlJc w:val="left"/>
      <w:pPr>
        <w:ind w:left="5324" w:hanging="360"/>
      </w:pPr>
    </w:lvl>
    <w:lvl w:ilvl="7" w:tplc="0C070019" w:tentative="1">
      <w:start w:val="1"/>
      <w:numFmt w:val="lowerLetter"/>
      <w:lvlText w:val="%8."/>
      <w:lvlJc w:val="left"/>
      <w:pPr>
        <w:ind w:left="6044" w:hanging="360"/>
      </w:pPr>
    </w:lvl>
    <w:lvl w:ilvl="8" w:tplc="0C07001B" w:tentative="1">
      <w:start w:val="1"/>
      <w:numFmt w:val="lowerRoman"/>
      <w:lvlText w:val="%9."/>
      <w:lvlJc w:val="right"/>
      <w:pPr>
        <w:ind w:left="6764" w:hanging="180"/>
      </w:pPr>
    </w:lvl>
  </w:abstractNum>
  <w:num w:numId="1">
    <w:abstractNumId w:val="11"/>
  </w:num>
  <w:num w:numId="2">
    <w:abstractNumId w:val="13"/>
  </w:num>
  <w:num w:numId="3">
    <w:abstractNumId w:val="8"/>
  </w:num>
  <w:num w:numId="4">
    <w:abstractNumId w:val="0"/>
  </w:num>
  <w:num w:numId="5">
    <w:abstractNumId w:val="5"/>
  </w:num>
  <w:num w:numId="6">
    <w:abstractNumId w:val="10"/>
  </w:num>
  <w:num w:numId="7">
    <w:abstractNumId w:val="14"/>
  </w:num>
  <w:num w:numId="8">
    <w:abstractNumId w:val="2"/>
  </w:num>
  <w:num w:numId="9">
    <w:abstractNumId w:val="16"/>
  </w:num>
  <w:num w:numId="10">
    <w:abstractNumId w:val="16"/>
    <w:lvlOverride w:ilvl="0">
      <w:startOverride w:val="1"/>
    </w:lvlOverride>
  </w:num>
  <w:num w:numId="11">
    <w:abstractNumId w:val="1"/>
  </w:num>
  <w:num w:numId="12">
    <w:abstractNumId w:val="15"/>
  </w:num>
  <w:num w:numId="13">
    <w:abstractNumId w:val="3"/>
  </w:num>
  <w:num w:numId="14">
    <w:abstractNumId w:val="4"/>
  </w:num>
  <w:num w:numId="15">
    <w:abstractNumId w:val="6"/>
  </w:num>
  <w:num w:numId="16">
    <w:abstractNumId w:val="7"/>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16"/>
    <w:rsid w:val="0004543C"/>
    <w:rsid w:val="00081E8C"/>
    <w:rsid w:val="000B4906"/>
    <w:rsid w:val="000B7D16"/>
    <w:rsid w:val="000D6792"/>
    <w:rsid w:val="00104985"/>
    <w:rsid w:val="0013562B"/>
    <w:rsid w:val="00183BA0"/>
    <w:rsid w:val="001D62BC"/>
    <w:rsid w:val="001E21A6"/>
    <w:rsid w:val="00213827"/>
    <w:rsid w:val="00214C46"/>
    <w:rsid w:val="00252777"/>
    <w:rsid w:val="00264236"/>
    <w:rsid w:val="002654D3"/>
    <w:rsid w:val="002D3B66"/>
    <w:rsid w:val="002E2D16"/>
    <w:rsid w:val="002F067F"/>
    <w:rsid w:val="002F75D4"/>
    <w:rsid w:val="00301AF1"/>
    <w:rsid w:val="00312FC1"/>
    <w:rsid w:val="00314204"/>
    <w:rsid w:val="00317460"/>
    <w:rsid w:val="00323988"/>
    <w:rsid w:val="00324C5E"/>
    <w:rsid w:val="00325C04"/>
    <w:rsid w:val="0035089C"/>
    <w:rsid w:val="003C6DF7"/>
    <w:rsid w:val="0041288D"/>
    <w:rsid w:val="00413F75"/>
    <w:rsid w:val="00455515"/>
    <w:rsid w:val="0046168A"/>
    <w:rsid w:val="00496D18"/>
    <w:rsid w:val="00497E54"/>
    <w:rsid w:val="004B7EAB"/>
    <w:rsid w:val="004D7979"/>
    <w:rsid w:val="004E0B77"/>
    <w:rsid w:val="005D6DD3"/>
    <w:rsid w:val="00606540"/>
    <w:rsid w:val="00626AF5"/>
    <w:rsid w:val="006809E4"/>
    <w:rsid w:val="006954C7"/>
    <w:rsid w:val="006A0390"/>
    <w:rsid w:val="006A2207"/>
    <w:rsid w:val="006B1F2D"/>
    <w:rsid w:val="006C0A09"/>
    <w:rsid w:val="006C463C"/>
    <w:rsid w:val="006D0B41"/>
    <w:rsid w:val="006F15CF"/>
    <w:rsid w:val="00721E13"/>
    <w:rsid w:val="00725939"/>
    <w:rsid w:val="00740E02"/>
    <w:rsid w:val="00747AC5"/>
    <w:rsid w:val="00777C63"/>
    <w:rsid w:val="00783F16"/>
    <w:rsid w:val="007B7198"/>
    <w:rsid w:val="007C7F57"/>
    <w:rsid w:val="00835D3D"/>
    <w:rsid w:val="00856002"/>
    <w:rsid w:val="008569DE"/>
    <w:rsid w:val="00864093"/>
    <w:rsid w:val="0088336E"/>
    <w:rsid w:val="008A5956"/>
    <w:rsid w:val="008C2D24"/>
    <w:rsid w:val="008E755F"/>
    <w:rsid w:val="0090508C"/>
    <w:rsid w:val="00925DA6"/>
    <w:rsid w:val="0094349C"/>
    <w:rsid w:val="009462AD"/>
    <w:rsid w:val="0099016F"/>
    <w:rsid w:val="009E1A29"/>
    <w:rsid w:val="009E4CE2"/>
    <w:rsid w:val="009E5905"/>
    <w:rsid w:val="00A4532C"/>
    <w:rsid w:val="00A56C5B"/>
    <w:rsid w:val="00A723E6"/>
    <w:rsid w:val="00A85F83"/>
    <w:rsid w:val="00A94720"/>
    <w:rsid w:val="00A96944"/>
    <w:rsid w:val="00AD5E4E"/>
    <w:rsid w:val="00AE7E6E"/>
    <w:rsid w:val="00AF4B04"/>
    <w:rsid w:val="00B15E1E"/>
    <w:rsid w:val="00B21C5F"/>
    <w:rsid w:val="00B37655"/>
    <w:rsid w:val="00B45FED"/>
    <w:rsid w:val="00B52EE4"/>
    <w:rsid w:val="00B95049"/>
    <w:rsid w:val="00B95F25"/>
    <w:rsid w:val="00BA3F4F"/>
    <w:rsid w:val="00BB42DB"/>
    <w:rsid w:val="00BB6E45"/>
    <w:rsid w:val="00BC210D"/>
    <w:rsid w:val="00C0221B"/>
    <w:rsid w:val="00C03840"/>
    <w:rsid w:val="00C33C4B"/>
    <w:rsid w:val="00C86197"/>
    <w:rsid w:val="00C90231"/>
    <w:rsid w:val="00C95802"/>
    <w:rsid w:val="00CC02F5"/>
    <w:rsid w:val="00CE0576"/>
    <w:rsid w:val="00CE5CCA"/>
    <w:rsid w:val="00CF3243"/>
    <w:rsid w:val="00D21F84"/>
    <w:rsid w:val="00D52552"/>
    <w:rsid w:val="00DB2D65"/>
    <w:rsid w:val="00DB737D"/>
    <w:rsid w:val="00DD36F7"/>
    <w:rsid w:val="00DF2EAE"/>
    <w:rsid w:val="00E132E7"/>
    <w:rsid w:val="00E22C5F"/>
    <w:rsid w:val="00E2596F"/>
    <w:rsid w:val="00E275EC"/>
    <w:rsid w:val="00E31DA6"/>
    <w:rsid w:val="00E460F9"/>
    <w:rsid w:val="00E669E5"/>
    <w:rsid w:val="00E73C00"/>
    <w:rsid w:val="00E97C16"/>
    <w:rsid w:val="00EB6394"/>
    <w:rsid w:val="00EB63BA"/>
    <w:rsid w:val="00ED218C"/>
    <w:rsid w:val="00EE7B5F"/>
    <w:rsid w:val="00F12D5F"/>
    <w:rsid w:val="00F22B0F"/>
    <w:rsid w:val="00F41DC7"/>
    <w:rsid w:val="00F41EB6"/>
    <w:rsid w:val="00F44794"/>
    <w:rsid w:val="00F53785"/>
    <w:rsid w:val="00F56E5D"/>
    <w:rsid w:val="00F74876"/>
    <w:rsid w:val="00F82874"/>
    <w:rsid w:val="00F85CC7"/>
    <w:rsid w:val="00FC1E53"/>
    <w:rsid w:val="00FC2A98"/>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BF700A"/>
  <w14:defaultImageDpi w14:val="330"/>
  <w15:docId w15:val="{A8F9C976-3DBA-4EAC-B5E1-A4538C6E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6D18"/>
    <w:pPr>
      <w:spacing w:after="120" w:line="264" w:lineRule="auto"/>
      <w:jc w:val="both"/>
    </w:pPr>
    <w:rPr>
      <w:rFonts w:ascii="Arial" w:hAnsi="Arial"/>
      <w:szCs w:val="24"/>
    </w:rPr>
  </w:style>
  <w:style w:type="paragraph" w:styleId="berschrift1">
    <w:name w:val="heading 1"/>
    <w:basedOn w:val="Standard"/>
    <w:next w:val="Standard"/>
    <w:link w:val="berschrift1Zchn"/>
    <w:qFormat/>
    <w:rsid w:val="00EF0B55"/>
    <w:pPr>
      <w:keepNext/>
      <w:spacing w:before="240" w:after="60"/>
      <w:outlineLvl w:val="0"/>
    </w:pPr>
    <w:rPr>
      <w:rFonts w:cs="Arial"/>
      <w:b/>
      <w:bCs/>
      <w:kern w:val="32"/>
      <w:sz w:val="24"/>
      <w:szCs w:val="32"/>
    </w:rPr>
  </w:style>
  <w:style w:type="paragraph" w:styleId="berschrift2">
    <w:name w:val="heading 2"/>
    <w:basedOn w:val="Standard"/>
    <w:next w:val="Standard"/>
    <w:qFormat/>
    <w:rsid w:val="00EF0B55"/>
    <w:pPr>
      <w:keepNext/>
      <w:spacing w:before="240" w:after="60"/>
      <w:outlineLvl w:val="1"/>
    </w:pPr>
    <w:rPr>
      <w:rFonts w:cs="Arial"/>
      <w:b/>
      <w:bCs/>
      <w:i/>
      <w:iCs/>
      <w:szCs w:val="28"/>
    </w:rPr>
  </w:style>
  <w:style w:type="paragraph" w:styleId="berschrift3">
    <w:name w:val="heading 3"/>
    <w:basedOn w:val="Standard"/>
    <w:next w:val="Standard"/>
    <w:qFormat/>
    <w:rsid w:val="001A0C69"/>
    <w:pPr>
      <w:keepNext/>
      <w:spacing w:before="240" w:after="60"/>
      <w:outlineLvl w:val="2"/>
    </w:pPr>
    <w:rPr>
      <w:rFonts w:cs="Arial"/>
      <w:b/>
      <w:bCs/>
      <w:sz w:val="2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ferenzen">
    <w:name w:val="Referenzen"/>
    <w:basedOn w:val="Listenabsatz"/>
    <w:qFormat/>
    <w:rsid w:val="00C86197"/>
    <w:pPr>
      <w:numPr>
        <w:numId w:val="15"/>
      </w:numPr>
      <w:ind w:left="811" w:hanging="454"/>
    </w:pPr>
    <w:rPr>
      <w:lang w:val="de-AT"/>
    </w:rPr>
  </w:style>
  <w:style w:type="paragraph" w:customStyle="1" w:styleId="Autoren">
    <w:name w:val="Autoren"/>
    <w:basedOn w:val="Standard"/>
    <w:qFormat/>
    <w:rsid w:val="00EF0B55"/>
    <w:pPr>
      <w:jc w:val="center"/>
    </w:pPr>
    <w:rPr>
      <w:b/>
      <w:sz w:val="24"/>
    </w:rPr>
  </w:style>
  <w:style w:type="paragraph" w:styleId="Funotentext">
    <w:name w:val="footnote text"/>
    <w:basedOn w:val="Standard"/>
    <w:semiHidden/>
    <w:qFormat/>
    <w:rsid w:val="0097280D"/>
    <w:pPr>
      <w:tabs>
        <w:tab w:val="left" w:pos="284"/>
      </w:tabs>
      <w:spacing w:after="0" w:line="240" w:lineRule="auto"/>
    </w:pPr>
    <w:rPr>
      <w:szCs w:val="20"/>
    </w:rPr>
  </w:style>
  <w:style w:type="character" w:styleId="Funotenzeichen">
    <w:name w:val="footnote reference"/>
    <w:basedOn w:val="Absatz-Standardschriftart"/>
    <w:semiHidden/>
    <w:rsid w:val="001A0C69"/>
    <w:rPr>
      <w:vertAlign w:val="superscript"/>
    </w:rPr>
  </w:style>
  <w:style w:type="paragraph" w:styleId="Dokumentstruktur">
    <w:name w:val="Document Map"/>
    <w:basedOn w:val="Standard"/>
    <w:semiHidden/>
    <w:rsid w:val="00EF0B55"/>
    <w:pPr>
      <w:shd w:val="clear" w:color="auto" w:fill="C6D5EC"/>
    </w:pPr>
    <w:rPr>
      <w:rFonts w:ascii="Lucida Grande" w:hAnsi="Lucida Grande"/>
      <w:sz w:val="24"/>
    </w:rPr>
  </w:style>
  <w:style w:type="paragraph" w:styleId="Kopfzeile">
    <w:name w:val="header"/>
    <w:basedOn w:val="Standard"/>
    <w:link w:val="KopfzeileZchn"/>
    <w:uiPriority w:val="99"/>
    <w:unhideWhenUsed/>
    <w:rsid w:val="00E9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7C16"/>
    <w:rPr>
      <w:rFonts w:ascii="Arial" w:hAnsi="Arial"/>
      <w:szCs w:val="24"/>
    </w:rPr>
  </w:style>
  <w:style w:type="paragraph" w:styleId="Listenabsatz">
    <w:name w:val="List Paragraph"/>
    <w:basedOn w:val="Standard"/>
    <w:uiPriority w:val="34"/>
    <w:qFormat/>
    <w:rsid w:val="00CE0576"/>
    <w:pPr>
      <w:numPr>
        <w:numId w:val="8"/>
      </w:numPr>
      <w:ind w:left="1003" w:hanging="357"/>
      <w:contextualSpacing/>
      <w:jc w:val="left"/>
    </w:pPr>
  </w:style>
  <w:style w:type="paragraph" w:customStyle="1" w:styleId="Nummerierung">
    <w:name w:val="Nummerierung"/>
    <w:basedOn w:val="Listenabsatz"/>
    <w:qFormat/>
    <w:rsid w:val="00CE0576"/>
    <w:pPr>
      <w:numPr>
        <w:numId w:val="9"/>
      </w:numPr>
    </w:pPr>
  </w:style>
  <w:style w:type="paragraph" w:styleId="Titel">
    <w:name w:val="Title"/>
    <w:basedOn w:val="Standard"/>
    <w:next w:val="Standard"/>
    <w:link w:val="TitelZchn"/>
    <w:uiPriority w:val="10"/>
    <w:qFormat/>
    <w:rsid w:val="00BB6E45"/>
    <w:pPr>
      <w:spacing w:after="240" w:line="240" w:lineRule="auto"/>
      <w:contextualSpacing/>
      <w:jc w:val="center"/>
    </w:pPr>
    <w:rPr>
      <w:rFonts w:eastAsiaTheme="majorEastAsia" w:cstheme="majorBidi"/>
      <w:b/>
      <w:smallCaps/>
      <w:spacing w:val="-10"/>
      <w:kern w:val="28"/>
      <w:sz w:val="36"/>
      <w:szCs w:val="56"/>
    </w:rPr>
  </w:style>
  <w:style w:type="character" w:customStyle="1" w:styleId="TitelZchn">
    <w:name w:val="Titel Zchn"/>
    <w:basedOn w:val="Absatz-Standardschriftart"/>
    <w:link w:val="Titel"/>
    <w:uiPriority w:val="10"/>
    <w:rsid w:val="00BB6E45"/>
    <w:rPr>
      <w:rFonts w:ascii="Arial" w:eastAsiaTheme="majorEastAsia" w:hAnsi="Arial" w:cstheme="majorBidi"/>
      <w:b/>
      <w:smallCaps/>
      <w:spacing w:val="-10"/>
      <w:kern w:val="28"/>
      <w:sz w:val="36"/>
      <w:szCs w:val="56"/>
    </w:rPr>
  </w:style>
  <w:style w:type="paragraph" w:styleId="Inhaltsverzeichnisberschrift">
    <w:name w:val="TOC Heading"/>
    <w:basedOn w:val="berschrift1"/>
    <w:next w:val="Standard"/>
    <w:uiPriority w:val="39"/>
    <w:unhideWhenUsed/>
    <w:rsid w:val="00BB6E45"/>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sz w:val="32"/>
      <w:lang w:val="de-AT" w:eastAsia="de-AT"/>
    </w:rPr>
  </w:style>
  <w:style w:type="paragraph" w:customStyle="1" w:styleId="Organisation">
    <w:name w:val="Organisation"/>
    <w:basedOn w:val="Funotentext"/>
    <w:rsid w:val="00314204"/>
    <w:pPr>
      <w:jc w:val="left"/>
    </w:pPr>
  </w:style>
  <w:style w:type="character" w:styleId="Hyperlink">
    <w:name w:val="Hyperlink"/>
    <w:basedOn w:val="Absatz-Standardschriftart"/>
    <w:uiPriority w:val="99"/>
    <w:unhideWhenUsed/>
    <w:rsid w:val="00BB6E45"/>
    <w:rPr>
      <w:color w:val="0000FF" w:themeColor="hyperlink"/>
      <w:u w:val="single"/>
    </w:rPr>
  </w:style>
  <w:style w:type="paragraph" w:styleId="Beschriftung">
    <w:name w:val="caption"/>
    <w:basedOn w:val="Standard"/>
    <w:next w:val="Standard"/>
    <w:uiPriority w:val="35"/>
    <w:unhideWhenUsed/>
    <w:qFormat/>
    <w:rsid w:val="00CC02F5"/>
    <w:pPr>
      <w:spacing w:after="200" w:line="240" w:lineRule="auto"/>
      <w:jc w:val="left"/>
    </w:pPr>
    <w:rPr>
      <w:i/>
      <w:iCs/>
      <w:sz w:val="18"/>
      <w:szCs w:val="18"/>
    </w:rPr>
  </w:style>
  <w:style w:type="paragraph" w:styleId="Fuzeile">
    <w:name w:val="footer"/>
    <w:basedOn w:val="Standard"/>
    <w:link w:val="FuzeileZchn"/>
    <w:uiPriority w:val="99"/>
    <w:unhideWhenUsed/>
    <w:rsid w:val="00301A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AF1"/>
    <w:rPr>
      <w:rFonts w:ascii="Arial" w:hAnsi="Arial"/>
      <w:szCs w:val="24"/>
    </w:rPr>
  </w:style>
  <w:style w:type="character" w:customStyle="1" w:styleId="berschrift1Zchn">
    <w:name w:val="Überschrift 1 Zchn"/>
    <w:basedOn w:val="Absatz-Standardschriftart"/>
    <w:link w:val="berschrift1"/>
    <w:rsid w:val="0013562B"/>
    <w:rPr>
      <w:rFonts w:ascii="Arial" w:hAnsi="Arial" w:cs="Arial"/>
      <w:b/>
      <w:bCs/>
      <w:kern w:val="32"/>
      <w:sz w:val="24"/>
      <w:szCs w:val="32"/>
    </w:rPr>
  </w:style>
  <w:style w:type="character" w:styleId="Hervorhebung">
    <w:name w:val="Emphasis"/>
    <w:basedOn w:val="Absatz-Standardschriftart"/>
    <w:uiPriority w:val="20"/>
    <w:qFormat/>
    <w:rsid w:val="00E22C5F"/>
    <w:rPr>
      <w:i/>
      <w:iCs/>
    </w:rPr>
  </w:style>
  <w:style w:type="character" w:styleId="Platzhaltertext">
    <w:name w:val="Placeholder Text"/>
    <w:basedOn w:val="Absatz-Standardschriftart"/>
    <w:uiPriority w:val="99"/>
    <w:semiHidden/>
    <w:rsid w:val="006C0A09"/>
    <w:rPr>
      <w:color w:val="808080"/>
    </w:rPr>
  </w:style>
  <w:style w:type="paragraph" w:styleId="Sprechblasentext">
    <w:name w:val="Balloon Text"/>
    <w:basedOn w:val="Standard"/>
    <w:link w:val="SprechblasentextZchn"/>
    <w:uiPriority w:val="99"/>
    <w:semiHidden/>
    <w:unhideWhenUsed/>
    <w:rsid w:val="009050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050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570141">
      <w:bodyDiv w:val="1"/>
      <w:marLeft w:val="0"/>
      <w:marRight w:val="0"/>
      <w:marTop w:val="0"/>
      <w:marBottom w:val="0"/>
      <w:divBdr>
        <w:top w:val="none" w:sz="0" w:space="0" w:color="auto"/>
        <w:left w:val="none" w:sz="0" w:space="0" w:color="auto"/>
        <w:bottom w:val="none" w:sz="0" w:space="0" w:color="auto"/>
        <w:right w:val="none" w:sz="0" w:space="0" w:color="auto"/>
      </w:divBdr>
    </w:div>
    <w:div w:id="745497219">
      <w:bodyDiv w:val="1"/>
      <w:marLeft w:val="0"/>
      <w:marRight w:val="0"/>
      <w:marTop w:val="0"/>
      <w:marBottom w:val="0"/>
      <w:divBdr>
        <w:top w:val="none" w:sz="0" w:space="0" w:color="auto"/>
        <w:left w:val="none" w:sz="0" w:space="0" w:color="auto"/>
        <w:bottom w:val="none" w:sz="0" w:space="0" w:color="auto"/>
        <w:right w:val="none" w:sz="0" w:space="0" w:color="auto"/>
      </w:divBdr>
    </w:div>
    <w:div w:id="872114886">
      <w:bodyDiv w:val="1"/>
      <w:marLeft w:val="0"/>
      <w:marRight w:val="0"/>
      <w:marTop w:val="0"/>
      <w:marBottom w:val="0"/>
      <w:divBdr>
        <w:top w:val="none" w:sz="0" w:space="0" w:color="auto"/>
        <w:left w:val="none" w:sz="0" w:space="0" w:color="auto"/>
        <w:bottom w:val="none" w:sz="0" w:space="0" w:color="auto"/>
        <w:right w:val="none" w:sz="0" w:space="0" w:color="auto"/>
      </w:divBdr>
    </w:div>
    <w:div w:id="1850370996">
      <w:bodyDiv w:val="1"/>
      <w:marLeft w:val="0"/>
      <w:marRight w:val="0"/>
      <w:marTop w:val="0"/>
      <w:marBottom w:val="0"/>
      <w:divBdr>
        <w:top w:val="none" w:sz="0" w:space="0" w:color="auto"/>
        <w:left w:val="none" w:sz="0" w:space="0" w:color="auto"/>
        <w:bottom w:val="none" w:sz="0" w:space="0" w:color="auto"/>
        <w:right w:val="none" w:sz="0" w:space="0" w:color="auto"/>
      </w:divBdr>
      <w:divsChild>
        <w:div w:id="548615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E03971-C408-4B09-8ED2-4C99A9F1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1005</Words>
  <Characters>5735</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Bezeichnung des Vortrags</vt:lpstr>
      <vt:lpstr>Titel, Bezeichnung des Vortrags</vt:lpstr>
    </vt:vector>
  </TitlesOfParts>
  <Company>TUGRAZ</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Bezeichnung des Vortrags</dc:title>
  <dc:subject/>
  <dc:creator/>
  <cp:keywords/>
  <dc:description/>
  <cp:lastModifiedBy>zwickl-nb</cp:lastModifiedBy>
  <cp:revision>96</cp:revision>
  <cp:lastPrinted>2007-10-29T08:31:00Z</cp:lastPrinted>
  <dcterms:created xsi:type="dcterms:W3CDTF">2013-08-14T04:52:00Z</dcterms:created>
  <dcterms:modified xsi:type="dcterms:W3CDTF">2023-11-30T14:41:00Z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-1084554629</vt:i4>
  </property>
  <property fmtid="{D5CDD505-2E9C-101B-9397-08002B2CF9AE}" pid="3" name="_EmailSubject">
    <vt:lpwstr>Abstractvorlage.doc</vt:lpwstr>
  </property>
  <property fmtid="{D5CDD505-2E9C-101B-9397-08002B2CF9AE}" pid="4" name="_AuthorEmail">
    <vt:lpwstr>christoph.hubeR@tugraz.at</vt:lpwstr>
  </property>
  <property fmtid="{D5CDD505-2E9C-101B-9397-08002B2CF9AE}" pid="5" name="_AuthorEmailDisplayName">
    <vt:lpwstr>Christoph Huber</vt:lpwstr>
  </property>
  <property fmtid="{D5CDD505-2E9C-101B-9397-08002B2CF9AE}" pid="6" name="_ReviewingToolsShownOnce">
    <vt:lpwstr/>
  </property>
</Properties>
</file>