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 xml:space="preserve">Concurso para atribuição de bolsa de Investigação (BI-Doc) </w:t>
      </w:r>
      <w:r>
        <w:rPr>
          <w:rFonts w:cs="Cambria Math" w:ascii="Cambria Math" w:hAnsi="Cambria Math"/>
          <w:b/>
          <w:bCs/>
          <w:sz w:val="24"/>
          <w:szCs w:val="24"/>
        </w:rPr>
        <w:t>‐</w:t>
      </w:r>
      <w:r>
        <w:rPr>
          <w:rFonts w:cs="Calibri-Bold" w:ascii="Georgia" w:hAnsi="Georgia"/>
          <w:b/>
          <w:bCs/>
          <w:sz w:val="24"/>
          <w:szCs w:val="24"/>
        </w:rPr>
        <w:t xml:space="preserve"> uma vaga no âmbito do Projecto </w:t>
      </w:r>
      <w:r>
        <w:rPr>
          <w:rFonts w:cs="Calibri-Bold" w:ascii="Georgia" w:hAnsi="Georgia"/>
          <w:b/>
          <w:bCs/>
          <w:sz w:val="24"/>
          <w:szCs w:val="24"/>
        </w:rPr>
        <w:t>MOVES</w:t>
      </w:r>
      <w:r>
        <w:rPr>
          <w:rFonts w:cs="Calibri-Bold" w:ascii="Georgia" w:hAnsi="Georgia"/>
          <w:b/>
          <w:bCs/>
          <w:sz w:val="24"/>
          <w:szCs w:val="24"/>
        </w:rPr>
        <w:t>– Monitorização Virtual de Multidões em Cidades Inteligentes</w:t>
      </w:r>
    </w:p>
    <w:p>
      <w:pPr>
        <w:pStyle w:val="Normal"/>
        <w:spacing w:lineRule="auto" w:line="240"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Times New Roman" w:cs="Times New Roman" w:ascii="Georgia" w:hAnsi="Georgia"/>
          <w:b/>
          <w:sz w:val="24"/>
          <w:szCs w:val="24"/>
        </w:rPr>
        <w:t>Referência: “Bolsa BI-</w:t>
      </w:r>
      <w:r>
        <w:rPr>
          <w:rFonts w:eastAsia="Times New Roman" w:cs="Times New Roman" w:ascii="Georgia" w:hAnsi="Georgia"/>
          <w:b/>
          <w:sz w:val="24"/>
          <w:szCs w:val="24"/>
        </w:rPr>
        <w:t>MOVES_LA</w:t>
      </w:r>
      <w:r>
        <w:rPr>
          <w:rFonts w:eastAsia="Times New Roman" w:cs="Times New Roman" w:ascii="Georgia" w:hAnsi="Georgia"/>
          <w:b/>
          <w:sz w:val="24"/>
          <w:szCs w:val="24"/>
        </w:rPr>
        <w:t>”</w:t>
      </w:r>
    </w:p>
    <w:p>
      <w:pPr>
        <w:pStyle w:val="Normal"/>
        <w:spacing w:lineRule="auto" w:line="300" w:before="0" w:after="0"/>
        <w:jc w:val="both"/>
        <w:rPr>
          <w:rFonts w:ascii="Georgia" w:hAnsi="Georgia" w:cs="Calibri-Bold"/>
          <w:b/>
          <w:b/>
          <w:bCs/>
        </w:rPr>
      </w:pPr>
      <w:r>
        <w:rPr>
          <w:rFonts w:cs="Calibri-Bold" w:ascii="Georgia" w:hAnsi="Georgia"/>
          <w:b/>
          <w:bCs/>
        </w:rPr>
      </w:r>
    </w:p>
    <w:p>
      <w:pPr>
        <w:pStyle w:val="Normal"/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>Encontra</w:t>
      </w:r>
      <w:r>
        <w:rPr>
          <w:rFonts w:cs="Cambria Math" w:ascii="Cambria Math" w:hAnsi="Cambria Math"/>
          <w:sz w:val="24"/>
          <w:szCs w:val="24"/>
        </w:rPr>
        <w:t>‐</w:t>
      </w:r>
      <w:r>
        <w:rPr>
          <w:rFonts w:ascii="Georgia" w:hAnsi="Georgia"/>
          <w:sz w:val="24"/>
          <w:szCs w:val="24"/>
        </w:rPr>
        <w:t>se aberto concurso para a atribui</w:t>
      </w:r>
      <w:r>
        <w:rPr>
          <w:rFonts w:cs="Georgia" w:ascii="Georgia" w:hAnsi="Georgia"/>
          <w:sz w:val="24"/>
          <w:szCs w:val="24"/>
        </w:rPr>
        <w:t>çã</w:t>
      </w:r>
      <w:r>
        <w:rPr>
          <w:rFonts w:ascii="Georgia" w:hAnsi="Georgia"/>
          <w:sz w:val="24"/>
          <w:szCs w:val="24"/>
        </w:rPr>
        <w:t xml:space="preserve">o de uma Bolsa de Investigação para Mestre no âmbito do </w:t>
      </w:r>
      <w:r>
        <w:rPr>
          <w:rFonts w:ascii="Georgia" w:hAnsi="Georgia"/>
          <w:sz w:val="24"/>
          <w:szCs w:val="24"/>
        </w:rPr>
        <w:t xml:space="preserve">projeto MOVES </w:t>
      </w:r>
      <w:bookmarkStart w:id="0" w:name="__DdeLink__296_1578349176"/>
      <w:r>
        <w:rPr>
          <w:rFonts w:ascii="Georgia" w:hAnsi="Georgia"/>
          <w:sz w:val="24"/>
          <w:szCs w:val="24"/>
        </w:rPr>
        <w:t>– Monitorização Virtual de Multidões em Cidades Inteligentes</w:t>
      </w:r>
      <w:bookmarkEnd w:id="0"/>
      <w:r>
        <w:rPr>
          <w:rFonts w:ascii="Georgia" w:hAnsi="Georgia"/>
          <w:sz w:val="24"/>
          <w:szCs w:val="24"/>
        </w:rPr>
        <w:t>, co-financiado pelo Programa Portugal 2020 (PT 2020), no âmbito do Programa Operacional Regional do Centro (CENTRO 2020) e da União Europeia através do Fundo Europeu de Desenvolvimento Regional (FEDER)</w:t>
      </w:r>
      <w:r>
        <w:rPr>
          <w:rFonts w:eastAsia="Times New Roman" w:cs="Arial" w:ascii="Georgia" w:hAnsi="Georgia"/>
          <w:bCs/>
          <w:iCs/>
          <w:sz w:val="24"/>
          <w:szCs w:val="24"/>
        </w:rPr>
        <w:t xml:space="preserve">, decorrendo </w:t>
      </w:r>
      <w:r>
        <w:rPr>
          <w:rFonts w:ascii="Georgia" w:hAnsi="Georgia"/>
          <w:sz w:val="24"/>
          <w:szCs w:val="24"/>
        </w:rPr>
        <w:t xml:space="preserve">no Departamento de </w:t>
      </w:r>
      <w:r>
        <w:rPr>
          <w:rFonts w:ascii="Georgia" w:hAnsi="Georgia"/>
          <w:sz w:val="24"/>
          <w:szCs w:val="24"/>
        </w:rPr>
        <w:t>Informáti</w:t>
      </w:r>
      <w:r>
        <w:rPr>
          <w:rFonts w:ascii="Georgia" w:hAnsi="Georgia"/>
          <w:sz w:val="24"/>
          <w:szCs w:val="24"/>
        </w:rPr>
        <w:t xml:space="preserve">a da Universidade da Beira Interior, Covilhã, </w:t>
      </w:r>
      <w:r>
        <w:rPr>
          <w:rFonts w:cs="Arial" w:ascii="Georgia" w:hAnsi="Georgia"/>
          <w:sz w:val="24"/>
          <w:szCs w:val="24"/>
        </w:rPr>
        <w:t>nas seguintes condições: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>Área Científica:</w:t>
      </w:r>
      <w:r>
        <w:rPr>
          <w:rFonts w:ascii="Georgia" w:hAnsi="Georgia"/>
          <w:sz w:val="24"/>
          <w:szCs w:val="24"/>
        </w:rPr>
        <w:t xml:space="preserve"> Engenharia </w:t>
      </w:r>
      <w:r>
        <w:rPr>
          <w:rFonts w:ascii="Georgia" w:hAnsi="Georgia"/>
          <w:sz w:val="24"/>
          <w:szCs w:val="24"/>
        </w:rPr>
        <w:t>Informática</w:t>
      </w:r>
      <w:r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</w:rPr>
        <w:t>Informatics Engineering</w:t>
      </w:r>
      <w:r>
        <w:rPr>
          <w:rFonts w:ascii="Georgia" w:hAnsi="Georgia"/>
          <w:sz w:val="24"/>
          <w:szCs w:val="24"/>
        </w:rPr>
        <w:t>)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>Requisitos de admissão:</w:t>
      </w:r>
      <w:r>
        <w:rPr>
          <w:rFonts w:ascii="Georgia" w:hAnsi="Georgia"/>
          <w:sz w:val="24"/>
          <w:szCs w:val="24"/>
        </w:rPr>
        <w:t xml:space="preserve"> Titulares do grau de mestre em Engenharia </w:t>
      </w:r>
      <w:r>
        <w:rPr>
          <w:rFonts w:ascii="Georgia" w:hAnsi="Georgia"/>
          <w:sz w:val="24"/>
          <w:szCs w:val="24"/>
        </w:rPr>
        <w:t>Informática ou área afim</w:t>
      </w:r>
      <w:r>
        <w:rPr>
          <w:rFonts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 xml:space="preserve">São considerados requisitos principais para a admissão ao concurso, . A autoria de publicações em revistas científicas indexadas à ISI ou Scopus é considerada como fator favorável, assim como a publicação regular a este nível. Os candidatos deverão ter a capacidade de se expressar em português e, ou, em inglês a um nível considerado muito elevado (nível mínimo C2, segundo o Quadro Europeu Comum de Referência para Línguas, em ambas as línguas). Os candidatos deverão estar inscritos </w:t>
      </w:r>
      <w:r>
        <w:rPr>
          <w:rFonts w:ascii="Georgia" w:hAnsi="Georgia"/>
          <w:sz w:val="24"/>
          <w:szCs w:val="24"/>
        </w:rPr>
        <w:t>no</w:t>
      </w:r>
      <w:r>
        <w:rPr>
          <w:rFonts w:ascii="Georgia" w:hAnsi="Georgia"/>
          <w:sz w:val="24"/>
          <w:szCs w:val="24"/>
        </w:rPr>
        <w:t xml:space="preserve"> curso de doutoramento e</w:t>
      </w:r>
      <w:r>
        <w:rPr>
          <w:rFonts w:ascii="Georgia" w:hAnsi="Georgia"/>
          <w:sz w:val="24"/>
          <w:szCs w:val="24"/>
        </w:rPr>
        <w:t>m</w:t>
      </w:r>
      <w:r>
        <w:rPr>
          <w:rFonts w:ascii="Georgia" w:hAnsi="Georgia"/>
          <w:sz w:val="24"/>
          <w:szCs w:val="24"/>
        </w:rPr>
        <w:t xml:space="preserve"> Engenharia </w:t>
      </w:r>
      <w:r>
        <w:rPr>
          <w:rFonts w:ascii="Georgia" w:hAnsi="Georgia"/>
          <w:sz w:val="24"/>
          <w:szCs w:val="24"/>
        </w:rPr>
        <w:t xml:space="preserve">Informática </w:t>
      </w:r>
      <w:r>
        <w:rPr>
          <w:rFonts w:ascii="Georgia" w:hAnsi="Georgia"/>
          <w:sz w:val="24"/>
          <w:szCs w:val="24"/>
        </w:rPr>
        <w:t xml:space="preserve">da Universidade da Beira Interior ou, em alternativa, proceder à mesma aquando da atribuição da bolsa, satisfazendo em concomitância os requisitos de admissão ao referido ciclo de estudos. </w:t>
      </w:r>
    </w:p>
    <w:p>
      <w:pPr>
        <w:pStyle w:val="Normal"/>
        <w:spacing w:before="0" w:after="0"/>
        <w:jc w:val="both"/>
        <w:rPr>
          <w:rFonts w:ascii="Georgia" w:hAnsi="Georgia"/>
          <w:b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Plano de Trabalhos:</w:t>
      </w:r>
      <w:r>
        <w:rPr>
          <w:rFonts w:ascii="Georgia" w:hAnsi="Georgia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 xml:space="preserve">Revisão </w:t>
      </w:r>
      <w:r>
        <w:rPr>
          <w:rFonts w:ascii="Georgia" w:hAnsi="Georgia"/>
          <w:sz w:val="24"/>
          <w:szCs w:val="24"/>
        </w:rPr>
        <w:t>b</w:t>
      </w:r>
      <w:r>
        <w:rPr>
          <w:rFonts w:ascii="Georgia" w:hAnsi="Georgia"/>
          <w:sz w:val="24"/>
          <w:szCs w:val="24"/>
        </w:rPr>
        <w:t xml:space="preserve">ibliográfica </w:t>
      </w:r>
      <w:r>
        <w:rPr>
          <w:rFonts w:ascii="Georgia" w:hAnsi="Georgia"/>
          <w:sz w:val="24"/>
          <w:szCs w:val="24"/>
        </w:rPr>
        <w:t>da área.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>Desenvolvimento de métodos de deep learning para a Análise de Sentimento em Imagens (ASI)</w:t>
      </w:r>
      <w:r>
        <w:rPr>
          <w:rFonts w:ascii="Georgia" w:hAnsi="Georgia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>Desenvolvimento de métodos para ASI baseados em etiquetas automaticamente geradas sobre o conteúdo de imagens.</w:t>
      </w:r>
      <w:r>
        <w:rPr>
          <w:rFonts w:ascii="Georgia" w:hAnsi="Georgia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>Desenvolvimento de métodos que usem não só as imagens mas também o texto que as acompanha para ASI</w:t>
      </w:r>
      <w:r>
        <w:rPr>
          <w:rFonts w:ascii="Georgia" w:hAnsi="Georgia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ascii="Georgia" w:hAnsi="Georgia"/>
          <w:sz w:val="24"/>
          <w:szCs w:val="24"/>
        </w:rPr>
        <w:t>Escrita de artigos científicos e da dissertação de doutoramento</w:t>
      </w:r>
      <w:r>
        <w:rPr>
          <w:rFonts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Georgia" w:hAnsi="Georgia"/>
          <w:b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ascii="Georgia" w:hAnsi="Georgia"/>
          <w:b/>
          <w:sz w:val="24"/>
          <w:szCs w:val="24"/>
        </w:rPr>
        <w:t>Legislação e regulamentação aplicável</w:t>
      </w:r>
      <w:r>
        <w:rPr>
          <w:rFonts w:ascii="Georgia" w:hAnsi="Georgia"/>
          <w:sz w:val="24"/>
          <w:szCs w:val="24"/>
        </w:rPr>
        <w:t>: Lei Nº. 40/2004, de 18 de Agosto,</w:t>
      </w:r>
      <w:r>
        <w:rPr>
          <w:rFonts w:eastAsia="Times New Roman" w:cs="Arial" w:ascii="Georgia" w:hAnsi="Georgia"/>
          <w:color w:val="000000"/>
          <w:sz w:val="24"/>
          <w:szCs w:val="24"/>
        </w:rPr>
        <w:t xml:space="preserve"> alterada pelo Decreto-Lei n.º 202/2012, de 27 de agosto, pelo Decreto-Lei nº 233/2012, de 29 de outubro, pela Lei nº 12/2013, de 29 de janeiro e pelo Decreto-Lei nº 89/2013, de 09 de julho (Estatuto do Bolseiro de Investigação Científica), bem como o Regulamento de Bolsas de Investigação da Fundação para a Ciência e a Tecnologia I.P. (FCT) em vigor (</w:t>
      </w:r>
      <w:hyperlink r:id="rId2">
        <w:r>
          <w:rPr>
            <w:rStyle w:val="InternetLink"/>
            <w:rFonts w:eastAsia="Times New Roman" w:cs="Arial" w:ascii="Georgia" w:hAnsi="Georgia"/>
            <w:sz w:val="24"/>
            <w:szCs w:val="24"/>
          </w:rPr>
          <w:t>www.fct.pt/apoios/bolsas/docs/RegulamentoBolsasFCT2015.pdf</w:t>
        </w:r>
      </w:hyperlink>
      <w:r>
        <w:rPr>
          <w:rFonts w:eastAsia="Times New Roman" w:cs="Arial" w:ascii="Georgia" w:hAnsi="Georgia"/>
          <w:color w:val="000000"/>
          <w:sz w:val="24"/>
          <w:szCs w:val="24"/>
        </w:rPr>
        <w:t xml:space="preserve"> ).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>Local de trabalho:</w:t>
      </w:r>
      <w:r>
        <w:rPr>
          <w:rFonts w:ascii="Georgia" w:hAnsi="Georgia"/>
          <w:sz w:val="24"/>
          <w:szCs w:val="24"/>
        </w:rPr>
        <w:t xml:space="preserve"> O trabalho será desenvolvido no Departamento de </w:t>
      </w:r>
      <w:r>
        <w:rPr>
          <w:rFonts w:ascii="Georgia" w:hAnsi="Georgia"/>
          <w:sz w:val="24"/>
          <w:szCs w:val="24"/>
        </w:rPr>
        <w:t>Informática</w:t>
      </w:r>
      <w:r>
        <w:rPr>
          <w:rFonts w:ascii="Georgia" w:hAnsi="Georgia"/>
          <w:sz w:val="24"/>
          <w:szCs w:val="24"/>
        </w:rPr>
        <w:t xml:space="preserve"> da Universidade da Beira Interior, sob a orientação científica do Prof. Doutor </w:t>
      </w:r>
      <w:r>
        <w:rPr>
          <w:rFonts w:ascii="Georgia" w:hAnsi="Georgia"/>
          <w:sz w:val="24"/>
          <w:szCs w:val="24"/>
        </w:rPr>
        <w:t>Luís A. Alexandre</w:t>
      </w:r>
      <w:r>
        <w:rPr>
          <w:rFonts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>Duração da(s) bolsa(s):</w:t>
      </w:r>
      <w:r>
        <w:rPr>
          <w:rFonts w:ascii="Georgia" w:hAnsi="Georgia"/>
          <w:sz w:val="24"/>
          <w:szCs w:val="24"/>
        </w:rPr>
        <w:t xml:space="preserve"> A bolsa terá a duração de </w:t>
      </w:r>
      <w:r>
        <w:rPr>
          <w:rFonts w:ascii="Georgia" w:hAnsi="Georgia" w:eastAsiaTheme="minorEastAsia"/>
          <w:sz w:val="24"/>
          <w:szCs w:val="24"/>
          <w:highlight w:val="yellow"/>
        </w:rPr>
        <w:t>12</w:t>
      </w:r>
      <w:r>
        <w:rPr>
          <w:rFonts w:ascii="Georgia" w:hAnsi="Georgia" w:eastAsiaTheme="minorEastAsia"/>
          <w:sz w:val="24"/>
          <w:szCs w:val="24"/>
          <w:highlight w:val="yellow"/>
        </w:rPr>
        <w:t xml:space="preserve"> meses</w:t>
      </w:r>
      <w:r>
        <w:rPr>
          <w:rFonts w:ascii="Georgia" w:hAnsi="Georgia"/>
          <w:sz w:val="24"/>
          <w:szCs w:val="24"/>
        </w:rPr>
        <w:t xml:space="preserve">, com início previsto em </w:t>
      </w:r>
      <w:r>
        <w:rPr>
          <w:rFonts w:ascii="Georgia" w:hAnsi="Georgia"/>
          <w:sz w:val="24"/>
          <w:szCs w:val="24"/>
        </w:rPr>
        <w:t>setembro</w:t>
      </w:r>
      <w:r>
        <w:rPr>
          <w:rFonts w:ascii="Georgia" w:hAnsi="Georgia"/>
          <w:sz w:val="24"/>
          <w:szCs w:val="24"/>
        </w:rPr>
        <w:t xml:space="preserve"> de 201</w:t>
      </w:r>
      <w:r>
        <w:rPr>
          <w:rFonts w:ascii="Georgia" w:hAnsi="Georgia"/>
          <w:sz w:val="24"/>
          <w:szCs w:val="24"/>
        </w:rPr>
        <w:t>8</w:t>
      </w:r>
      <w:r>
        <w:rPr>
          <w:rFonts w:ascii="Georgia" w:hAnsi="Georgia"/>
          <w:sz w:val="24"/>
          <w:szCs w:val="24"/>
        </w:rPr>
        <w:t xml:space="preserve">, eventualmente </w:t>
      </w:r>
      <w:r>
        <w:rPr>
          <w:rFonts w:ascii="Georgia" w:hAnsi="Georgia" w:eastAsiaTheme="minorEastAsia"/>
          <w:sz w:val="24"/>
          <w:szCs w:val="24"/>
          <w:highlight w:val="yellow"/>
        </w:rPr>
        <w:t>renovável por iguais períodos, mediante parecer favorável do orientador, não podendo ultrapassar os 3</w:t>
      </w:r>
      <w:r>
        <w:rPr>
          <w:rFonts w:ascii="Georgia" w:hAnsi="Georgia" w:eastAsiaTheme="minorEastAsia"/>
          <w:sz w:val="24"/>
          <w:szCs w:val="24"/>
          <w:highlight w:val="yellow"/>
        </w:rPr>
        <w:t>4</w:t>
      </w:r>
      <w:r>
        <w:rPr>
          <w:rFonts w:ascii="Georgia" w:hAnsi="Georgia" w:eastAsiaTheme="minorEastAsia"/>
          <w:sz w:val="24"/>
          <w:szCs w:val="24"/>
          <w:highlight w:val="yellow"/>
        </w:rPr>
        <w:t xml:space="preserve"> meses</w:t>
      </w:r>
      <w:r>
        <w:rPr>
          <w:rFonts w:ascii="Georgia" w:hAnsi="Georgia"/>
          <w:sz w:val="24"/>
          <w:szCs w:val="24"/>
        </w:rPr>
        <w:t xml:space="preserve">. 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cs="Calibri-Bold" w:ascii="Georgia" w:hAnsi="Georgia"/>
          <w:b/>
          <w:bCs/>
          <w:sz w:val="24"/>
          <w:szCs w:val="24"/>
        </w:rPr>
        <w:t>Valor do subsídio de manutenção mensal</w:t>
      </w:r>
      <w:r>
        <w:rPr>
          <w:rFonts w:ascii="Georgia" w:hAnsi="Georgia"/>
          <w:sz w:val="24"/>
          <w:szCs w:val="24"/>
        </w:rPr>
        <w:t xml:space="preserve">: O montante da bolsa corresponde a </w:t>
      </w:r>
      <w:r>
        <w:rPr>
          <w:rFonts w:ascii="Georgia" w:hAnsi="Georgia" w:eastAsiaTheme="minorEastAsia"/>
          <w:sz w:val="24"/>
          <w:szCs w:val="24"/>
          <w:highlight w:val="yellow"/>
        </w:rPr>
        <w:t>980€</w:t>
      </w:r>
      <w:r>
        <w:rPr>
          <w:rFonts w:ascii="Georgia" w:hAnsi="Georgia"/>
          <w:sz w:val="24"/>
          <w:szCs w:val="24"/>
        </w:rPr>
        <w:t>, conforme tabela de valores das bolsas atribuídas diretamente pela FCT, I.P. no País (http://alfa.fct.mctes.pt/apoios/bolsas/valores). O pagamento da bolsa será feito com periodicidade mensal, através de transferência bancária.</w:t>
      </w:r>
    </w:p>
    <w:p>
      <w:pPr>
        <w:pStyle w:val="Normal"/>
        <w:spacing w:before="0" w:after="0"/>
        <w:jc w:val="both"/>
        <w:rPr>
          <w:rFonts w:ascii="Georgia" w:hAnsi="Georgia"/>
          <w:b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Métodos de seleção:</w:t>
      </w:r>
      <w:r>
        <w:rPr>
          <w:rFonts w:ascii="Georgia" w:hAnsi="Georgia"/>
          <w:sz w:val="24"/>
          <w:szCs w:val="24"/>
        </w:rPr>
        <w:t xml:space="preserve"> A seleção e seriação dos candidatos serão realizadas numa primeira fase com base nos seguintes parâmetros</w:t>
      </w:r>
      <w:r>
        <w:rPr>
          <w:rFonts w:ascii="Georgia" w:hAnsi="Georgia"/>
          <w:bCs/>
          <w:sz w:val="24"/>
          <w:szCs w:val="24"/>
        </w:rPr>
        <w:t xml:space="preserve"> e numa escala de 0 a 20: </w:t>
      </w:r>
      <w:r>
        <w:rPr>
          <w:rFonts w:ascii="Georgia" w:hAnsi="Georgia"/>
          <w:sz w:val="24"/>
          <w:szCs w:val="24"/>
        </w:rPr>
        <w:t xml:space="preserve">A - Classificação do grau de mestre (50%); B – Apreciação do currículo académico, científico, técnico e profissional e a sua adequação ao programa de trabalhos (ponderação de 50%), relevando as competências descritas nos requisitos de admissão. Em caso de empate na primeira fase de avaliação, será incluída uma segunda fase de avaliação na qual os candidatos que obtiveram </w:t>
      </w:r>
      <w:r>
        <w:rPr>
          <w:rFonts w:ascii="Georgia" w:hAnsi="Georgia"/>
          <w:i/>
          <w:sz w:val="24"/>
          <w:szCs w:val="24"/>
        </w:rPr>
        <w:t>exaequo</w:t>
      </w:r>
      <w:r>
        <w:rPr>
          <w:rFonts w:ascii="Georgia" w:hAnsi="Georgia"/>
          <w:sz w:val="24"/>
          <w:szCs w:val="24"/>
        </w:rPr>
        <w:t xml:space="preserve"> as melhores classificações serão convidados para uma entrevista para avaliação do perfil de investigador, em que serão tidos em conta aspetos como conhecimentos específicos e experiência na área, motivação, disponibilidade demonstrada, empenho, entre outros aspetos.</w:t>
      </w:r>
    </w:p>
    <w:p>
      <w:pPr>
        <w:pStyle w:val="Normal"/>
        <w:spacing w:before="0"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classificação final será calculada através da média entre a classificação obtida na 1ª fase (ponderação de 50%) e a classificação obtida na entrevista (ponderação de 50%), e expressa na escala de 0 a 20 valores.</w:t>
      </w:r>
    </w:p>
    <w:p>
      <w:pPr>
        <w:pStyle w:val="Normal"/>
        <w:spacing w:before="0" w:after="0"/>
        <w:jc w:val="both"/>
        <w:rPr>
          <w:rFonts w:ascii="Georgia" w:hAnsi="Georgia" w:cs="Calibri-Bold"/>
          <w:b/>
          <w:b/>
          <w:bCs/>
          <w:sz w:val="24"/>
          <w:szCs w:val="24"/>
        </w:rPr>
      </w:pPr>
      <w:r>
        <w:rPr>
          <w:rFonts w:cs="Calibri-Bold" w:ascii="Georgia" w:hAnsi="Georgi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Calibri-Bold" w:ascii="Georgia" w:hAnsi="Georgia"/>
          <w:b/>
          <w:bCs/>
          <w:sz w:val="24"/>
          <w:szCs w:val="24"/>
        </w:rPr>
        <w:t>Composição do Júri de Seleção</w:t>
      </w:r>
      <w:r>
        <w:rPr>
          <w:rFonts w:cs="Calibri" w:ascii="Georgia" w:hAnsi="Georgia"/>
          <w:sz w:val="24"/>
          <w:szCs w:val="24"/>
        </w:rPr>
        <w:t xml:space="preserve">: Presidente do Júri: Professor Doutor </w:t>
      </w:r>
      <w:r>
        <w:rPr>
          <w:rFonts w:cs="Calibri" w:ascii="Georgia" w:hAnsi="Georgia"/>
          <w:sz w:val="24"/>
          <w:szCs w:val="24"/>
        </w:rPr>
        <w:t>Luís A. Alexandre</w:t>
      </w:r>
      <w:r>
        <w:rPr>
          <w:rFonts w:cs="Calibri" w:ascii="Georgia" w:hAnsi="Georgia"/>
          <w:sz w:val="24"/>
          <w:szCs w:val="24"/>
        </w:rPr>
        <w:t xml:space="preserve">; Vogais efetivos: Professor Doutor </w:t>
      </w:r>
      <w:r>
        <w:rPr>
          <w:rFonts w:cs="Calibri" w:ascii="Georgia" w:hAnsi="Georgia"/>
          <w:sz w:val="24"/>
          <w:szCs w:val="24"/>
        </w:rPr>
        <w:t>João Paulo Cordeiro</w:t>
      </w:r>
      <w:r>
        <w:rPr>
          <w:rFonts w:cs="Calibri" w:ascii="Georgia" w:hAnsi="Georgia"/>
          <w:sz w:val="24"/>
          <w:szCs w:val="24"/>
        </w:rPr>
        <w:t xml:space="preserve">, Professor Doutor </w:t>
      </w:r>
      <w:r>
        <w:rPr>
          <w:rFonts w:cs="Calibri" w:ascii="Georgia" w:hAnsi="Georgia"/>
          <w:sz w:val="24"/>
          <w:szCs w:val="24"/>
        </w:rPr>
        <w:t>Sebastião Pais</w:t>
      </w:r>
      <w:r>
        <w:rPr>
          <w:rFonts w:cs="Calibri" w:ascii="Georgia" w:hAnsi="Georgia"/>
          <w:sz w:val="24"/>
          <w:szCs w:val="24"/>
        </w:rPr>
        <w:t xml:space="preserve">; Vogal suplente: Professor Doutor </w:t>
      </w:r>
      <w:r>
        <w:rPr>
          <w:rFonts w:cs="Calibri" w:ascii="Georgia" w:hAnsi="Georgia"/>
          <w:sz w:val="24"/>
          <w:szCs w:val="24"/>
        </w:rPr>
        <w:t>Hugo Proença</w:t>
      </w:r>
      <w:r>
        <w:rPr>
          <w:rFonts w:cs="Calibri"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</w:rPr>
      </w:pPr>
      <w:r>
        <w:rPr>
          <w:rFonts w:cs="Calibri" w:ascii="Georgia" w:hAnsi="Georgia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Forma de publicitação/notificação dos resultados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cs="Calibri" w:ascii="Georgia" w:hAnsi="Georgia"/>
          <w:sz w:val="24"/>
          <w:szCs w:val="24"/>
        </w:rPr>
        <w:t>Os resultados finais da avaliação serão publicitados através de lista ordenada, por nota final obtida, afixada em local visível e público da Faculdade de Engenharia da Universidade da Be</w:t>
      </w:r>
      <w:bookmarkStart w:id="1" w:name="_GoBack"/>
      <w:bookmarkEnd w:id="1"/>
      <w:r>
        <w:rPr>
          <w:rFonts w:cs="Calibri" w:ascii="Georgia" w:hAnsi="Georgia"/>
          <w:sz w:val="24"/>
          <w:szCs w:val="24"/>
        </w:rPr>
        <w:t xml:space="preserve">ira Interior, sendo o candidato(a) aprovado(a) notificado através de correio eletrónico. </w:t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</w:rPr>
      </w:pPr>
      <w:r>
        <w:rPr>
          <w:rFonts w:cs="Calibri" w:ascii="Georgia" w:hAnsi="Georgia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ascii="Georgia" w:hAnsi="Georgia"/>
          <w:b/>
          <w:sz w:val="24"/>
          <w:szCs w:val="24"/>
        </w:rPr>
        <w:t>Prazo de candidatura e forma de apresentação das candidaturas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cs="Calibri" w:ascii="Georgia" w:hAnsi="Georgia"/>
          <w:sz w:val="24"/>
          <w:szCs w:val="24"/>
        </w:rPr>
        <w:t>O concurso encontra</w:t>
      </w:r>
      <w:r>
        <w:rPr>
          <w:rFonts w:cs="Cambria Math" w:ascii="Cambria Math" w:hAnsi="Cambria Math"/>
          <w:sz w:val="24"/>
          <w:szCs w:val="24"/>
        </w:rPr>
        <w:t>‐</w:t>
      </w:r>
      <w:r>
        <w:rPr>
          <w:rFonts w:cs="Calibri" w:ascii="Georgia" w:hAnsi="Georgia"/>
          <w:sz w:val="24"/>
          <w:szCs w:val="24"/>
        </w:rPr>
        <w:t xml:space="preserve">se aberto de 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01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07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/201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8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 xml:space="preserve"> até às 24:00 horas do dia 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15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07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/201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8</w:t>
      </w:r>
      <w:r>
        <w:rPr>
          <w:rFonts w:cs="Calibri"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</w:rPr>
      </w:pPr>
      <w:r>
        <w:rPr>
          <w:rFonts w:cs="Calibri" w:ascii="Georgia" w:hAnsi="Georgia"/>
          <w:sz w:val="24"/>
          <w:szCs w:val="24"/>
        </w:rPr>
      </w:r>
    </w:p>
    <w:p>
      <w:pPr>
        <w:pStyle w:val="Normal"/>
        <w:rPr/>
      </w:pPr>
      <w:r>
        <w:rPr>
          <w:rFonts w:cs="Calibri" w:ascii="Georgia" w:hAnsi="Georgia"/>
          <w:sz w:val="24"/>
          <w:szCs w:val="24"/>
        </w:rPr>
        <w:t xml:space="preserve">As candidaturas devem ser formalizadas, obrigatoriamente, através do envio por correio eletrónico indicando a referência do concurso dos seguintes documentos em formato pdf: Carta de Motivação, Curriculum Vitae, cópia dos(s) Certificado(s) de habilitações, cópia do Cartão de Cidadão ou Passaporte e outros documentos comprovativos considerados relevantes. As candidaturas deverão ser enviadas para o endereço eletrónico </w:t>
      </w:r>
      <w:r>
        <w:rPr>
          <w:rFonts w:eastAsia="" w:cs="Calibri" w:ascii="Liberation Sans" w:hAnsi="Liberation Sans" w:eastAsiaTheme="minorEastAsia"/>
          <w:i w:val="false"/>
          <w:iCs w:val="false"/>
          <w:sz w:val="24"/>
          <w:szCs w:val="24"/>
          <w:lang w:eastAsia="pt-PT"/>
        </w:rPr>
        <w:t>luis.alexandre</w:t>
      </w:r>
      <w:r>
        <w:rPr>
          <w:rFonts w:eastAsia="" w:cs="Calibri" w:ascii="Liberation Sans" w:hAnsi="Liberation Sans" w:eastAsiaTheme="minorEastAsia"/>
          <w:i w:val="false"/>
          <w:iCs w:val="false"/>
          <w:sz w:val="24"/>
          <w:szCs w:val="24"/>
          <w:lang w:eastAsia="pt-PT"/>
        </w:rPr>
        <w:t>@ubi.pt</w:t>
      </w:r>
      <w:r>
        <w:rPr>
          <w:rFonts w:eastAsia="" w:cs="Calibri" w:ascii="Georgia" w:hAnsi="Georgia" w:eastAsiaTheme="minorEastAsia"/>
          <w:sz w:val="24"/>
          <w:szCs w:val="24"/>
          <w:lang w:eastAsia="pt-PT"/>
        </w:rPr>
        <w:t xml:space="preserve"> </w:t>
      </w:r>
      <w:r>
        <w:rPr>
          <w:rFonts w:cs="Calibri" w:ascii="Georgia" w:hAnsi="Georgia"/>
          <w:sz w:val="24"/>
          <w:szCs w:val="24"/>
        </w:rPr>
        <w:t xml:space="preserve">até às 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 xml:space="preserve">24:00horas do dia 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15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07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/201</w:t>
      </w:r>
      <w:r>
        <w:rPr>
          <w:rFonts w:cs="Calibri" w:ascii="Georgia" w:hAnsi="Georgia" w:eastAsiaTheme="minorEastAsia"/>
          <w:sz w:val="24"/>
          <w:szCs w:val="24"/>
          <w:highlight w:val="yellow"/>
        </w:rPr>
        <w:t>8</w:t>
      </w:r>
      <w:r>
        <w:rPr>
          <w:rFonts w:cs="Calibri" w:ascii="Georgia" w:hAnsi="Georgia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</w:rPr>
      </w:pPr>
      <w:r>
        <w:rPr>
          <w:rFonts w:cs="Calibri" w:ascii="Georgia" w:hAnsi="Georgia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Georgia" w:hAnsi="Georgia" w:cs="Calibri"/>
          <w:sz w:val="24"/>
          <w:szCs w:val="24"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134" w:header="709" w:top="766" w:footer="403" w:bottom="198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left" w:pos="6096" w:leader="none"/>
        <w:tab w:val="right" w:pos="8504" w:leader="none"/>
      </w:tabs>
      <w:rPr/>
    </w:pPr>
    <w:r>
      <w:rPr/>
      <w:drawing>
        <wp:inline distT="0" distB="0" distL="0" distR="0">
          <wp:extent cx="3994785" cy="612140"/>
          <wp:effectExtent l="0" t="0" r="0" b="0"/>
          <wp:docPr id="2" name="Imagem 10" descr="C:\Users\CAMISA~1.004\AppData\Local\Temp\Rar$DI00.978\Modelos-Barras-FUNDOS-v04_3logos-FE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C:\Users\CAMISA~1.004\AppData\Local\Temp\Rar$DI00.978\Modelos-Barras-FUNDOS-v04_3logos-FE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94785" cy="612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1872615" cy="612140"/>
          <wp:effectExtent l="0" t="0" r="0" b="0"/>
          <wp:docPr id="3" name="Imagem 14" descr="C:\Users\CAMISA~1.004\AppData\Local\Temp\Rar$DI03.052\2017_FCT_H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4" descr="C:\Users\CAMISA~1.004\AppData\Local\Temp\Rar$DI03.052\2017_FCT_H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3661" t="0" r="13514" b="15900"/>
                  <a:stretch>
                    <a:fillRect/>
                  </a:stretch>
                </pic:blipFill>
                <pic:spPr bwMode="auto">
                  <a:xfrm>
                    <a:off x="0" y="0"/>
                    <a:ext cx="1872615" cy="612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3810" distL="114300" distR="114300" simplePos="0" locked="0" layoutInCell="1" allowOverlap="1" relativeHeight="4">
          <wp:simplePos x="0" y="0"/>
          <wp:positionH relativeFrom="margin">
            <wp:posOffset>0</wp:posOffset>
          </wp:positionH>
          <wp:positionV relativeFrom="paragraph">
            <wp:posOffset>-87630</wp:posOffset>
          </wp:positionV>
          <wp:extent cx="1087755" cy="1082040"/>
          <wp:effectExtent l="0" t="0" r="0" b="0"/>
          <wp:wrapTopAndBottom/>
          <wp:docPr id="1" name="Imagem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75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517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pt-PT" w:val="pt-PT" w:bidi="ar-SA"/>
    </w:rPr>
  </w:style>
  <w:style w:type="paragraph" w:styleId="Heading1">
    <w:name w:val="Heading 1"/>
    <w:basedOn w:val="Normal"/>
    <w:next w:val="Normal"/>
    <w:link w:val="Cabealho1Carter"/>
    <w:qFormat/>
    <w:rsid w:val="00ea517f"/>
    <w:pPr>
      <w:keepNext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30819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30819"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d30819"/>
    <w:rPr>
      <w:rFonts w:ascii="Segoe UI" w:hAnsi="Segoe UI" w:cs="Segoe UI"/>
      <w:sz w:val="18"/>
      <w:szCs w:val="18"/>
    </w:rPr>
  </w:style>
  <w:style w:type="character" w:styleId="Cabealho1Carter" w:customStyle="1">
    <w:name w:val="Cabeçalho 1 Caráter"/>
    <w:basedOn w:val="DefaultParagraphFont"/>
    <w:link w:val="Cabealho1"/>
    <w:qFormat/>
    <w:rsid w:val="00ea517f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Internet Link"/>
    <w:basedOn w:val="DefaultParagraphFont"/>
    <w:uiPriority w:val="99"/>
    <w:unhideWhenUsed/>
    <w:rsid w:val="00ea517f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ea517f"/>
    <w:rPr/>
  </w:style>
  <w:style w:type="character" w:styleId="TextosimplesCarter" w:customStyle="1">
    <w:name w:val="Texto simples Caráter"/>
    <w:basedOn w:val="DefaultParagraphFont"/>
    <w:link w:val="Textosimples"/>
    <w:uiPriority w:val="99"/>
    <w:qFormat/>
    <w:rsid w:val="00600c4b"/>
    <w:rPr>
      <w:rFonts w:ascii="Calibri" w:hAnsi="Calibri" w:eastAsia="Calibri" w:cs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arter"/>
    <w:uiPriority w:val="99"/>
    <w:unhideWhenUsed/>
    <w:rsid w:val="00d3081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d3081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d3081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uiPriority w:val="99"/>
    <w:qFormat/>
    <w:rsid w:val="00600c4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pt-PT" w:eastAsia="en-US" w:bidi="ar-SA"/>
    </w:rPr>
  </w:style>
  <w:style w:type="paragraph" w:styleId="PlainText">
    <w:name w:val="Plain Text"/>
    <w:basedOn w:val="Normal"/>
    <w:link w:val="TextosimplesCarter"/>
    <w:uiPriority w:val="99"/>
    <w:qFormat/>
    <w:rsid w:val="00600c4b"/>
    <w:pPr>
      <w:spacing w:lineRule="auto" w:line="240" w:before="0" w:after="0"/>
    </w:pPr>
    <w:rPr>
      <w:rFonts w:ascii="Calibri" w:hAnsi="Calibri" w:eastAsia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f73f8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10d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ct.pt/apoios/bolsas/docs/RegulamentoBolsasFCT2015.pd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UBI.dotx</Template>
  <TotalTime>134</TotalTime>
  <Application>LibreOffice/5.1.6.2$Linux_X86_64 LibreOffice_project/10m0$Build-2</Application>
  <Pages>3</Pages>
  <Words>781</Words>
  <Characters>4594</Characters>
  <CharactersWithSpaces>5357</CharactersWithSpaces>
  <Paragraphs>24</Paragraphs>
  <Company>UBI.PT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2017-10-19T15:49:00Z</dcterms:created>
  <dc:creator>Pedro Cabral</dc:creator>
  <dc:description/>
  <dc:language>en-US</dc:language>
  <cp:lastModifiedBy>Luís Alexandre</cp:lastModifiedBy>
  <cp:lastPrinted>2016-06-15T10:29:00Z</cp:lastPrinted>
  <dcterms:modified xsi:type="dcterms:W3CDTF">2018-05-04T19:43:11Z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UBI.PT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