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07111E"/>
          <w:sz w:val="64"/>
          <w:szCs w:val="64"/>
        </w:rPr>
        <w:t xml:space="preserve">S@FE</w:t>
      </w:r>
    </w:p>
    <w:p>
      <w:pPr>
        <w:spacing w:after="600"/>
        <w:jc w:val="center"/>
      </w:pPr>
      <w:r>
        <w:rPr>
          <w:rFonts w:ascii="Calibri" w:cs="Calibri" w:eastAsia="Calibri" w:hAnsi="Calibri"/>
          <w:i/>
          <w:iCs/>
          <w:color w:val="1E88E5"/>
          <w:sz w:val="22"/>
          <w:szCs w:val="22"/>
        </w:rPr>
        <w:t xml:space="preserve">SASU — Digitalisation &amp; Assurances</w:t>
      </w:r>
    </w:p>
    <w:p>
      <w:pPr>
        <w:pBdr>
          <w:top w:val="single" w:color="D4AF37" w:sz="8" w:space="10"/>
          <w:bottom w:val="single" w:color="D4AF37" w:sz="8" w:space="10"/>
        </w:pBdr>
        <w:spacing w:after="300" w:before="300"/>
        <w:jc w:val="center"/>
      </w:pPr>
      <w:r>
        <w:rPr>
          <w:rFonts w:ascii="Calibri" w:cs="Calibri" w:eastAsia="Calibri" w:hAnsi="Calibri"/>
          <w:b/>
          <w:bCs/>
          <w:color w:val="07111E"/>
          <w:sz w:val="34"/>
          <w:szCs w:val="34"/>
        </w:rPr>
        <w:t xml:space="preserve">POLITIQUE DE GESTION DES CORRECTIFS DE SÉCURITÉ</w:t>
      </w:r>
    </w:p>
    <w:p>
      <w:pPr>
        <w:spacing w:after="1000"/>
        <w:jc w:val="center"/>
      </w:pPr>
      <w:r>
        <w:rPr>
          <w:rFonts w:ascii="Calibri" w:cs="Calibri" w:eastAsia="Calibri" w:hAnsi="Calibri"/>
          <w:i/>
          <w:iCs/>
          <w:color w:val="5B6470"/>
          <w:sz w:val="22"/>
          <w:szCs w:val="22"/>
        </w:rPr>
        <w:t xml:space="preserve">(Politique de Patch Management)</w:t>
      </w:r>
    </w:p>
    <w:p>
      <w:pPr>
        <w:spacing w:before="1200"/>
      </w:pPr>
    </w:p>
    <w:p>
      <w:pPr>
        <w:spacing w:after="60"/>
      </w:pPr>
      <w:r>
        <w:rPr>
          <w:rFonts w:ascii="Calibri" w:cs="Calibri" w:eastAsia="Calibri" w:hAnsi="Calibri"/>
          <w:b/>
          <w:bCs/>
          <w:color w:val="07111E"/>
          <w:sz w:val="20"/>
          <w:szCs w:val="20"/>
        </w:rPr>
        <w:t xml:space="preserve">Référence : </w:t>
      </w:r>
      <w:r>
        <w:rPr>
          <w:rFonts w:ascii="Calibri" w:cs="Calibri" w:eastAsia="Calibri" w:hAnsi="Calibri"/>
          <w:color w:val="222222"/>
          <w:sz w:val="20"/>
          <w:szCs w:val="20"/>
        </w:rPr>
        <w:t xml:space="preserve">S@FE-POL-SEC-001</w:t>
      </w:r>
    </w:p>
    <w:p>
      <w:pPr>
        <w:spacing w:after="60"/>
      </w:pPr>
      <w:r>
        <w:rPr>
          <w:rFonts w:ascii="Calibri" w:cs="Calibri" w:eastAsia="Calibri" w:hAnsi="Calibri"/>
          <w:b/>
          <w:bCs/>
          <w:color w:val="07111E"/>
          <w:sz w:val="20"/>
          <w:szCs w:val="20"/>
        </w:rPr>
        <w:t xml:space="preserve">Version : </w:t>
      </w:r>
      <w:r>
        <w:rPr>
          <w:rFonts w:ascii="Calibri" w:cs="Calibri" w:eastAsia="Calibri" w:hAnsi="Calibri"/>
          <w:color w:val="222222"/>
          <w:sz w:val="20"/>
          <w:szCs w:val="20"/>
        </w:rPr>
        <w:t xml:space="preserve">1.0</w:t>
      </w:r>
    </w:p>
    <w:p>
      <w:pPr>
        <w:spacing w:after="60"/>
      </w:pPr>
      <w:r>
        <w:rPr>
          <w:rFonts w:ascii="Calibri" w:cs="Calibri" w:eastAsia="Calibri" w:hAnsi="Calibri"/>
          <w:b/>
          <w:bCs/>
          <w:color w:val="07111E"/>
          <w:sz w:val="20"/>
          <w:szCs w:val="20"/>
        </w:rPr>
        <w:t xml:space="preserve">Date d'application : </w:t>
      </w:r>
      <w:r>
        <w:rPr>
          <w:rFonts w:ascii="Calibri" w:cs="Calibri" w:eastAsia="Calibri" w:hAnsi="Calibri"/>
          <w:color w:val="222222"/>
          <w:sz w:val="20"/>
          <w:szCs w:val="20"/>
        </w:rPr>
        <w:t xml:space="preserve">3 juillet 2026</w:t>
      </w:r>
    </w:p>
    <w:p>
      <w:pPr>
        <w:spacing w:after="60"/>
      </w:pPr>
      <w:r>
        <w:rPr>
          <w:rFonts w:ascii="Calibri" w:cs="Calibri" w:eastAsia="Calibri" w:hAnsi="Calibri"/>
          <w:b/>
          <w:bCs/>
          <w:color w:val="07111E"/>
          <w:sz w:val="20"/>
          <w:szCs w:val="20"/>
        </w:rPr>
        <w:t xml:space="preserve">Rédigé par : </w:t>
      </w:r>
      <w:r>
        <w:rPr>
          <w:rFonts w:ascii="Calibri" w:cs="Calibri" w:eastAsia="Calibri" w:hAnsi="Calibri"/>
          <w:color w:val="222222"/>
          <w:sz w:val="20"/>
          <w:szCs w:val="20"/>
        </w:rPr>
        <w:t xml:space="preserve">Sébastien Alonso — Président, DPO</w:t>
      </w:r>
    </w:p>
    <w:p>
      <w:pPr>
        <w:spacing w:after="60"/>
      </w:pPr>
      <w:r>
        <w:rPr>
          <w:rFonts w:ascii="Calibri" w:cs="Calibri" w:eastAsia="Calibri" w:hAnsi="Calibri"/>
          <w:b/>
          <w:bCs/>
          <w:color w:val="07111E"/>
          <w:sz w:val="20"/>
          <w:szCs w:val="20"/>
        </w:rPr>
        <w:t xml:space="preserve">Périmètre : </w:t>
      </w:r>
      <w:r>
        <w:rPr>
          <w:rFonts w:ascii="Calibri" w:cs="Calibri" w:eastAsia="Calibri" w:hAnsi="Calibri"/>
          <w:color w:val="222222"/>
          <w:sz w:val="20"/>
          <w:szCs w:val="20"/>
        </w:rPr>
        <w:t xml:space="preserve">S@FE SASU — S@FE Digitalisation &amp; S@FE Assurances (infrastructures internes et prestations clients)</w:t>
      </w:r>
    </w:p>
    <w:p>
      <w:pPr>
        <w:spacing w:after="60"/>
      </w:pPr>
      <w:r>
        <w:rPr>
          <w:rFonts w:ascii="Calibri" w:cs="Calibri" w:eastAsia="Calibri" w:hAnsi="Calibri"/>
          <w:b/>
          <w:bCs/>
          <w:color w:val="07111E"/>
          <w:sz w:val="20"/>
          <w:szCs w:val="20"/>
        </w:rPr>
        <w:t xml:space="preserve">Classification : </w:t>
      </w:r>
      <w:r>
        <w:rPr>
          <w:rFonts w:ascii="Calibri" w:cs="Calibri" w:eastAsia="Calibri" w:hAnsi="Calibri"/>
          <w:color w:val="222222"/>
          <w:sz w:val="20"/>
          <w:szCs w:val="20"/>
        </w:rPr>
        <w:t xml:space="preserve">Usage interne — communicable aux clients et partenaires sur demande</w:t>
      </w:r>
    </w:p>
    <w:p>
      <w:r>
        <w:br w:type="page"/>
      </w:r>
    </w:p>
    <w:p>
      <w:pPr>
        <w:sectPr>
          <w:pgSz w:w="11906" w:h="16838" w:orient="portrait"/>
          <w:pgMar w:top="1400" w:right="1200" w:bottom="1400" w:left="1200" w:header="708" w:footer="708" w:gutter="0"/>
          <w:pgNumType/>
          <w:docGrid w:linePitch="360"/>
        </w:sectPr>
      </w:pPr>
    </w:p>
    <w:p>
      <w:pPr>
        <w:pStyle w:val="Heading1"/>
        <w:pBdr>
          <w:bottom w:val="single" w:color="D4AF37" w:sz="6" w:space="4"/>
        </w:pBdr>
        <w:spacing w:after="200" w:before="400"/>
      </w:pPr>
      <w:r>
        <w:rPr>
          <w:rFonts w:ascii="Calibri" w:cs="Calibri" w:eastAsia="Calibri" w:hAnsi="Calibri"/>
          <w:b/>
          <w:bCs/>
          <w:color w:val="07111E"/>
          <w:sz w:val="28"/>
          <w:szCs w:val="28"/>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4AF37" w:sz="6" w:space="4"/>
        </w:pBdr>
        <w:spacing w:after="200" w:before="400"/>
      </w:pPr>
      <w:r>
        <w:rPr>
          <w:rFonts w:ascii="Calibri" w:cs="Calibri" w:eastAsia="Calibri" w:hAnsi="Calibri"/>
          <w:b/>
          <w:bCs/>
          <w:color w:val="07111E"/>
          <w:sz w:val="28"/>
          <w:szCs w:val="28"/>
        </w:rPr>
        <w:t xml:space="preserve">1. Objet et périmètre</w:t>
      </w:r>
    </w:p>
    <w:p>
      <w:pPr>
        <w:spacing w:after="160" w:line="276"/>
      </w:pPr>
      <w:r>
        <w:rPr>
          <w:rFonts w:ascii="Calibri" w:cs="Calibri" w:eastAsia="Calibri" w:hAnsi="Calibri"/>
          <w:color w:val="222222"/>
          <w:sz w:val="21"/>
          <w:szCs w:val="21"/>
        </w:rPr>
        <w:t xml:space="preserve">La présente politique définit les règles et délais applicables à l'identification, l'évaluation, le test et le déploiement des correctifs de sécurité (patches) sur l'ensemble des systèmes d'information exploités par S@FE SASU, ainsi que sur les environnements techniques développés pour le compte de ses clients (audits, CRM, sites web, applications SaaS).</w:t>
      </w:r>
    </w:p>
    <w:p>
      <w:pPr>
        <w:spacing w:after="160" w:line="276"/>
      </w:pPr>
      <w:r>
        <w:rPr>
          <w:rFonts w:ascii="Calibri" w:cs="Calibri" w:eastAsia="Calibri" w:hAnsi="Calibri"/>
          <w:color w:val="222222"/>
          <w:sz w:val="21"/>
          <w:szCs w:val="21"/>
        </w:rPr>
        <w:t xml:space="preserve">Elle s'applique aux deux branches d'activité :</w:t>
      </w:r>
    </w:p>
    <w:p>
      <w:pPr>
        <w:pStyle w:val="ListParagraph"/>
        <w:numPr>
          <w:ilvl w:val="0"/>
          <w:numId w:val="2"/>
        </w:numPr>
        <w:spacing w:after="80"/>
      </w:pPr>
      <w:r>
        <w:rPr>
          <w:rFonts w:ascii="Calibri" w:cs="Calibri" w:eastAsia="Calibri" w:hAnsi="Calibri"/>
          <w:color w:val="222222"/>
          <w:sz w:val="21"/>
          <w:szCs w:val="21"/>
        </w:rPr>
        <w:t xml:space="preserve">S@FE Digitalisation : CRM interne (crm.safe-digitalisation.fr), sites web clients, hébergements GitHub Pages/Cloudflare, dépendances applicatives (npm, librairies JS/CSS), plateformes SaaS développées en propre (dont C@NDY).</w:t>
      </w:r>
    </w:p>
    <w:p>
      <w:pPr>
        <w:pStyle w:val="ListParagraph"/>
        <w:numPr>
          <w:ilvl w:val="0"/>
          <w:numId w:val="2"/>
        </w:numPr>
        <w:spacing w:after="80"/>
      </w:pPr>
      <w:r>
        <w:rPr>
          <w:rFonts w:ascii="Calibri" w:cs="Calibri" w:eastAsia="Calibri" w:hAnsi="Calibri"/>
          <w:color w:val="222222"/>
          <w:sz w:val="21"/>
          <w:szCs w:val="21"/>
        </w:rPr>
        <w:t xml:space="preserve">S@FE Assurances : plateforme de courtage (safe-assurances.fr), interfaces avec les partenaires (Dattak, ACHEEL, APRIL Courtage), infrastructures Infomaniak dédiées aux données sensibles.</w:t>
      </w:r>
    </w:p>
    <w:p>
      <w:pPr>
        <w:spacing w:after="160" w:line="276"/>
      </w:pPr>
      <w:r>
        <w:rPr>
          <w:rFonts w:ascii="Calibri" w:cs="Calibri" w:eastAsia="Calibri" w:hAnsi="Calibri"/>
          <w:color w:val="222222"/>
          <w:sz w:val="21"/>
          <w:szCs w:val="21"/>
        </w:rPr>
        <w:t xml:space="preserve">Elle couvre les systèmes d'exploitation, moteurs de base de données, frameworks et librairies, CMS, extensions/plugins, firmwares réseau, ainsi que les composants tiers intégrés (Supabase, Stripe, Brevo, connecteurs IA).</w:t>
      </w:r>
    </w:p>
    <w:p>
      <w:pPr>
        <w:pStyle w:val="Heading1"/>
        <w:pBdr>
          <w:bottom w:val="single" w:color="D4AF37" w:sz="6" w:space="4"/>
        </w:pBdr>
        <w:spacing w:after="200" w:before="400"/>
      </w:pPr>
      <w:r>
        <w:rPr>
          <w:rFonts w:ascii="Calibri" w:cs="Calibri" w:eastAsia="Calibri" w:hAnsi="Calibri"/>
          <w:b/>
          <w:bCs/>
          <w:color w:val="07111E"/>
          <w:sz w:val="28"/>
          <w:szCs w:val="28"/>
        </w:rPr>
        <w:t xml:space="preserve">2. Références</w:t>
      </w:r>
    </w:p>
    <w:p>
      <w:pPr>
        <w:pStyle w:val="ListParagraph"/>
        <w:numPr>
          <w:ilvl w:val="0"/>
          <w:numId w:val="2"/>
        </w:numPr>
        <w:spacing w:after="80"/>
      </w:pPr>
      <w:r>
        <w:rPr>
          <w:rFonts w:ascii="Calibri" w:cs="Calibri" w:eastAsia="Calibri" w:hAnsi="Calibri"/>
          <w:color w:val="222222"/>
          <w:sz w:val="21"/>
          <w:szCs w:val="21"/>
        </w:rPr>
        <w:t xml:space="preserve">RGPD, article 32 — Sécurité du traitement (obligation de maintenir un niveau de sécurité adapté au risque).</w:t>
      </w:r>
    </w:p>
    <w:p>
      <w:pPr>
        <w:pStyle w:val="ListParagraph"/>
        <w:numPr>
          <w:ilvl w:val="0"/>
          <w:numId w:val="2"/>
        </w:numPr>
        <w:spacing w:after="80"/>
      </w:pPr>
      <w:r>
        <w:rPr>
          <w:rFonts w:ascii="Calibri" w:cs="Calibri" w:eastAsia="Calibri" w:hAnsi="Calibri"/>
          <w:color w:val="222222"/>
          <w:sz w:val="21"/>
          <w:szCs w:val="21"/>
        </w:rPr>
        <w:t xml:space="preserve">ISO/CEI 27001:2022, mesure A.8.8 — Gestion des vulnérabilités techniques.</w:t>
      </w:r>
    </w:p>
    <w:p>
      <w:pPr>
        <w:pStyle w:val="ListParagraph"/>
        <w:numPr>
          <w:ilvl w:val="0"/>
          <w:numId w:val="2"/>
        </w:numPr>
        <w:spacing w:after="80"/>
      </w:pPr>
      <w:r>
        <w:rPr>
          <w:rFonts w:ascii="Calibri" w:cs="Calibri" w:eastAsia="Calibri" w:hAnsi="Calibri"/>
          <w:color w:val="222222"/>
          <w:sz w:val="21"/>
          <w:szCs w:val="21"/>
        </w:rPr>
        <w:t xml:space="preserve">Recommandations ANSSI et bulletins CERT-FR.</w:t>
      </w:r>
    </w:p>
    <w:p>
      <w:pPr>
        <w:pStyle w:val="ListParagraph"/>
        <w:numPr>
          <w:ilvl w:val="0"/>
          <w:numId w:val="2"/>
        </w:numPr>
        <w:spacing w:after="80"/>
      </w:pPr>
      <w:r>
        <w:rPr>
          <w:rFonts w:ascii="Calibri" w:cs="Calibri" w:eastAsia="Calibri" w:hAnsi="Calibri"/>
          <w:color w:val="222222"/>
          <w:sz w:val="21"/>
          <w:szCs w:val="21"/>
        </w:rPr>
        <w:t xml:space="preserve">Exigences contractuelles des partenaires (DPA Supabase, Stripe, Brevo, Anthropic).</w:t>
      </w:r>
    </w:p>
    <w:p>
      <w:pPr>
        <w:pStyle w:val="Heading1"/>
        <w:pBdr>
          <w:bottom w:val="single" w:color="D4AF37" w:sz="6" w:space="4"/>
        </w:pBdr>
        <w:spacing w:after="200" w:before="400"/>
      </w:pPr>
      <w:r>
        <w:rPr>
          <w:rFonts w:ascii="Calibri" w:cs="Calibri" w:eastAsia="Calibri" w:hAnsi="Calibri"/>
          <w:b/>
          <w:bCs/>
          <w:color w:val="07111E"/>
          <w:sz w:val="28"/>
          <w:szCs w:val="28"/>
        </w:rPr>
        <w:t xml:space="preserve">3. Définitions</w:t>
      </w:r>
    </w:p>
    <w:p>
      <w:pPr>
        <w:pStyle w:val="ListParagraph"/>
        <w:numPr>
          <w:ilvl w:val="0"/>
          <w:numId w:val="2"/>
        </w:numPr>
        <w:spacing w:after="80"/>
      </w:pPr>
      <w:r>
        <w:rPr>
          <w:rFonts w:ascii="Calibri" w:cs="Calibri" w:eastAsia="Calibri" w:hAnsi="Calibri"/>
          <w:color w:val="222222"/>
          <w:sz w:val="21"/>
          <w:szCs w:val="21"/>
        </w:rPr>
        <w:t xml:space="preserve">Correctif (patch) : mise à jour logicielle corrigeant une vulnérabilité, un bug ou apportant une amélioration.</w:t>
      </w:r>
    </w:p>
    <w:p>
      <w:pPr>
        <w:pStyle w:val="ListParagraph"/>
        <w:numPr>
          <w:ilvl w:val="0"/>
          <w:numId w:val="2"/>
        </w:numPr>
        <w:spacing w:after="80"/>
      </w:pPr>
      <w:r>
        <w:rPr>
          <w:rFonts w:ascii="Calibri" w:cs="Calibri" w:eastAsia="Calibri" w:hAnsi="Calibri"/>
          <w:color w:val="222222"/>
          <w:sz w:val="21"/>
          <w:szCs w:val="21"/>
        </w:rPr>
        <w:t xml:space="preserve">CVE (Common Vulnerabilities and Exposures) : identifiant unique attribué à une vulnérabilité publiquement connue.</w:t>
      </w:r>
    </w:p>
    <w:p>
      <w:pPr>
        <w:pStyle w:val="ListParagraph"/>
        <w:numPr>
          <w:ilvl w:val="0"/>
          <w:numId w:val="2"/>
        </w:numPr>
        <w:spacing w:after="80"/>
      </w:pPr>
      <w:r>
        <w:rPr>
          <w:rFonts w:ascii="Calibri" w:cs="Calibri" w:eastAsia="Calibri" w:hAnsi="Calibri"/>
          <w:color w:val="222222"/>
          <w:sz w:val="21"/>
          <w:szCs w:val="21"/>
        </w:rPr>
        <w:t xml:space="preserve">CVSS (Common Vulnerability Scoring System) : score de 0 à 10 mesurant la gravité d'une vulnérabilité.</w:t>
      </w:r>
    </w:p>
    <w:p>
      <w:pPr>
        <w:pStyle w:val="ListParagraph"/>
        <w:numPr>
          <w:ilvl w:val="0"/>
          <w:numId w:val="2"/>
        </w:numPr>
        <w:spacing w:after="80"/>
      </w:pPr>
      <w:r>
        <w:rPr>
          <w:rFonts w:ascii="Calibri" w:cs="Calibri" w:eastAsia="Calibri" w:hAnsi="Calibri"/>
          <w:color w:val="222222"/>
          <w:sz w:val="21"/>
          <w:szCs w:val="21"/>
        </w:rPr>
        <w:t xml:space="preserve">0-day : vulnérabilité exploitée avant qu'un correctif officiel soit disponible.</w:t>
      </w:r>
    </w:p>
    <w:p>
      <w:pPr>
        <w:pStyle w:val="ListParagraph"/>
        <w:numPr>
          <w:ilvl w:val="0"/>
          <w:numId w:val="2"/>
        </w:numPr>
        <w:spacing w:after="80"/>
      </w:pPr>
      <w:r>
        <w:rPr>
          <w:rFonts w:ascii="Calibri" w:cs="Calibri" w:eastAsia="Calibri" w:hAnsi="Calibri"/>
          <w:color w:val="222222"/>
          <w:sz w:val="21"/>
          <w:szCs w:val="21"/>
        </w:rPr>
        <w:t xml:space="preserve">Environnement de recette : environnement de test isolé de la production, utilisé pour valider un correctif avant déploiement.</w:t>
      </w:r>
    </w:p>
    <w:p>
      <w:pPr>
        <w:pStyle w:val="Heading1"/>
        <w:pBdr>
          <w:bottom w:val="single" w:color="D4AF37" w:sz="6" w:space="4"/>
        </w:pBdr>
        <w:spacing w:after="200" w:before="400"/>
      </w:pPr>
      <w:r>
        <w:rPr>
          <w:rFonts w:ascii="Calibri" w:cs="Calibri" w:eastAsia="Calibri" w:hAnsi="Calibri"/>
          <w:b/>
          <w:bCs/>
          <w:color w:val="07111E"/>
          <w:sz w:val="28"/>
          <w:szCs w:val="28"/>
        </w:rPr>
        <w:t xml:space="preserve">4. Rôles et responsabilités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800"/>
        <w:gridCol w:w="7800"/>
      </w:tblGrid>
      <w:tr>
        <w:tc>
          <w:tcPr>
            <w:tcW w:type="dxa" w:w="38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Rôle</w:t>
            </w:r>
          </w:p>
        </w:tc>
        <w:tc>
          <w:tcPr>
            <w:tcW w:type="dxa" w:w="78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Responsabilité</w:t>
            </w:r>
          </w:p>
        </w:tc>
      </w:tr>
      <w:tr>
        <w:tc>
          <w:tcPr>
            <w:tcW w:type="dxa" w:w="38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Président / DPO (Sébastien Alonso)</w:t>
            </w:r>
          </w:p>
        </w:tc>
        <w:tc>
          <w:tcPr>
            <w:tcW w:type="dxa" w:w="78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Validation de la politique, arbitrage sur les exceptions, décision finale en cas de correctif à risque pour la continuité de service, supervision de la conformité RGPD (art. 32).</w:t>
            </w:r>
          </w:p>
        </w:tc>
      </w:tr>
      <w:tr>
        <w:tc>
          <w:tcPr>
            <w:tcW w:type="dxa" w:w="3800"/>
            <w:shd w:fill="F2F3F5"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Responsable développement (Émilie Culat)</w:t>
            </w:r>
          </w:p>
        </w:tc>
        <w:tc>
          <w:tcPr>
            <w:tcW w:type="dxa" w:w="7800"/>
            <w:shd w:fill="F2F3F5"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Veille technique sur les composants applicatifs (CRM, C@NDY, sites clients), tests en environnement de recette, application des correctifs sur les dépôts GitHub et environnements Supabase.</w:t>
            </w:r>
          </w:p>
        </w:tc>
      </w:tr>
      <w:tr>
        <w:tc>
          <w:tcPr>
            <w:tcW w:type="dxa" w:w="38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Prestataires / hébergeurs (Supabase, Infomaniak, GitHub, OVHcloud, Scaleway, 3DS Outscale selon périmètre)</w:t>
            </w:r>
          </w:p>
        </w:tc>
        <w:tc>
          <w:tcPr>
            <w:tcW w:type="dxa" w:w="78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Application des correctifs au niveau infrastructure et plateforme (patching OS, moteur de base de données, réseau), notification des incidents de sécurité selon les DPA en vigueur.</w:t>
            </w:r>
          </w:p>
        </w:tc>
      </w:tr>
    </w:tbl>
    <w:p>
      <w:pPr>
        <w:spacing w:before="200"/>
      </w:pPr>
    </w:p>
    <w:p>
      <w:pPr>
        <w:spacing w:after="160" w:line="276"/>
      </w:pPr>
      <w:r>
        <w:rPr>
          <w:rFonts w:ascii="Calibri" w:cs="Calibri" w:eastAsia="Calibri" w:hAnsi="Calibri"/>
          <w:color w:val="222222"/>
          <w:sz w:val="21"/>
          <w:szCs w:val="21"/>
        </w:rPr>
        <w:t xml:space="preserve">Toute application de correctif sur un environnement de production S@FE ou client doit être tracée (voir section 8) et, pour les correctifs classés « Critique » ou « Élevé », validée conjointement par le DPO et le Responsable développement.</w:t>
      </w:r>
    </w:p>
    <w:p>
      <w:pPr>
        <w:pStyle w:val="Heading1"/>
        <w:pBdr>
          <w:bottom w:val="single" w:color="D4AF37" w:sz="6" w:space="4"/>
        </w:pBdr>
        <w:spacing w:after="200" w:before="400"/>
      </w:pPr>
      <w:r>
        <w:rPr>
          <w:rFonts w:ascii="Calibri" w:cs="Calibri" w:eastAsia="Calibri" w:hAnsi="Calibri"/>
          <w:b/>
          <w:bCs/>
          <w:color w:val="07111E"/>
          <w:sz w:val="28"/>
          <w:szCs w:val="28"/>
        </w:rPr>
        <w:t xml:space="preserve">5. Classification et délais d'application (SLA)</w:t>
      </w:r>
    </w:p>
    <w:p>
      <w:pPr>
        <w:spacing w:after="160" w:line="276"/>
      </w:pPr>
      <w:r>
        <w:rPr>
          <w:rFonts w:ascii="Calibri" w:cs="Calibri" w:eastAsia="Calibri" w:hAnsi="Calibri"/>
          <w:color w:val="222222"/>
          <w:sz w:val="21"/>
          <w:szCs w:val="21"/>
        </w:rPr>
        <w:t xml:space="preserve">Chaque correctif identifié est évalué et classé selon le tableau ci-dessous. Le délai court à compter de la publication officielle du correctif ou de sa détection par la veille.</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600"/>
        <w:gridCol w:w="2400"/>
      </w:tblGrid>
      <w:tr>
        <w:tc>
          <w:tcPr>
            <w:tcW w:type="dxa" w:w="17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Niveau</w:t>
            </w:r>
          </w:p>
        </w:tc>
        <w:tc>
          <w:tcPr>
            <w:tcW w:type="dxa" w:w="39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c>
          <w:tcPr>
            <w:tcW w:type="dxa" w:w="36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Exemples</w:t>
            </w:r>
          </w:p>
        </w:tc>
        <w:tc>
          <w:tcPr>
            <w:tcW w:type="dxa" w:w="24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Délai d'application</w:t>
            </w:r>
          </w:p>
        </w:tc>
      </w:tr>
      <w:tr>
        <w:tc>
          <w:tcPr>
            <w:tcW w:type="dxa" w:w="17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Critique</w:t>
            </w:r>
          </w:p>
        </w:tc>
        <w:tc>
          <w:tcPr>
            <w:tcW w:type="dxa" w:w="39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Vulnérabilité exploitable à distance, sans authentification, avec impact majeur (RCE, fuite de données, prise de contrôle).</w:t>
            </w:r>
          </w:p>
        </w:tc>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CVE avec score CVSS ≥ 9.0 ; faille activement exploitée (0-day) ; alerte CERT-FR/ANSSI</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Sous 24 à 48h (hors heures ouvrées si nécessaire)</w:t>
            </w:r>
          </w:p>
        </w:tc>
      </w:tr>
      <w:tr>
        <w:tc>
          <w:tcPr>
            <w:tcW w:type="dxa" w:w="1700"/>
            <w:shd w:fill="F2F3F5"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Élevé</w:t>
            </w:r>
          </w:p>
        </w:tc>
        <w:tc>
          <w:tcPr>
            <w:tcW w:type="dxa" w:w="3900"/>
            <w:shd w:fill="F2F3F5"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Vulnérabilité à fort impact mais nécessitant des conditions d'exploitation (accès local, authentification faible).</w:t>
            </w:r>
          </w:p>
        </w:tc>
        <w:tc>
          <w:tcPr>
            <w:tcW w:type="dxa" w:w="3600"/>
            <w:shd w:fill="F2F3F5"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CVSS 7.0 – 8.9</w:t>
            </w:r>
          </w:p>
        </w:tc>
        <w:tc>
          <w:tcPr>
            <w:tcW w:type="dxa" w:w="2400"/>
            <w:shd w:fill="F2F3F5"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Sous 7 jours calendaires</w:t>
            </w:r>
          </w:p>
        </w:tc>
      </w:tr>
      <w:tr>
        <w:tc>
          <w:tcPr>
            <w:tcW w:type="dxa" w:w="17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Moyen</w:t>
            </w:r>
          </w:p>
        </w:tc>
        <w:tc>
          <w:tcPr>
            <w:tcW w:type="dxa" w:w="39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Vulnérabilité à impact limité ou difficilement exploitable.</w:t>
            </w:r>
          </w:p>
        </w:tc>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CVSS 4.0 – 6.9</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Sous 30 jours</w:t>
            </w:r>
          </w:p>
        </w:tc>
      </w:tr>
      <w:tr>
        <w:tc>
          <w:tcPr>
            <w:tcW w:type="dxa" w:w="1700"/>
            <w:shd w:fill="F2F3F5"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Faible / Correctif fonctionnel</w:t>
            </w:r>
          </w:p>
        </w:tc>
        <w:tc>
          <w:tcPr>
            <w:tcW w:type="dxa" w:w="3900"/>
            <w:shd w:fill="F2F3F5"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Mise à jour mineure, correction de bug, amélioration sans enjeu de sécurité direct.</w:t>
            </w:r>
          </w:p>
        </w:tc>
        <w:tc>
          <w:tcPr>
            <w:tcW w:type="dxa" w:w="3600"/>
            <w:shd w:fill="F2F3F5"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CVSS &lt; 4.0 ; mises à jour de version mineure</w:t>
            </w:r>
          </w:p>
        </w:tc>
        <w:tc>
          <w:tcPr>
            <w:tcW w:type="dxa" w:w="2400"/>
            <w:shd w:fill="F2F3F5"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Prochaine fenêtre de maintenance planifiée (max. 90 jours)</w:t>
            </w:r>
          </w:p>
        </w:tc>
      </w:tr>
    </w:tbl>
    <w:p>
      <w:pPr>
        <w:pStyle w:val="Heading1"/>
        <w:pBdr>
          <w:bottom w:val="single" w:color="D4AF37" w:sz="6" w:space="4"/>
        </w:pBdr>
        <w:spacing w:after="200" w:before="400"/>
      </w:pPr>
      <w:r>
        <w:rPr>
          <w:rFonts w:ascii="Calibri" w:cs="Calibri" w:eastAsia="Calibri" w:hAnsi="Calibri"/>
          <w:b/>
          <w:bCs/>
          <w:color w:val="07111E"/>
          <w:sz w:val="28"/>
          <w:szCs w:val="28"/>
        </w:rPr>
        <w:t xml:space="preserve">6. Processus de gestion des correctifs</w:t>
      </w:r>
    </w:p>
    <w:p>
      <w:pPr>
        <w:pStyle w:val="Heading2"/>
        <w:spacing w:after="120" w:before="300"/>
      </w:pPr>
      <w:r>
        <w:rPr>
          <w:rFonts w:ascii="Calibri" w:cs="Calibri" w:eastAsia="Calibri" w:hAnsi="Calibri"/>
          <w:b/>
          <w:bCs/>
          <w:color w:val="1E88E5"/>
          <w:sz w:val="24"/>
          <w:szCs w:val="24"/>
        </w:rPr>
        <w:t xml:space="preserve">6.1 Veille</w:t>
      </w:r>
    </w:p>
    <w:p>
      <w:pPr>
        <w:spacing w:after="160" w:line="276"/>
      </w:pPr>
      <w:r>
        <w:rPr>
          <w:rFonts w:ascii="Calibri" w:cs="Calibri" w:eastAsia="Calibri" w:hAnsi="Calibri"/>
          <w:color w:val="222222"/>
          <w:sz w:val="21"/>
          <w:szCs w:val="21"/>
        </w:rPr>
        <w:t xml:space="preserve">Une veille continue est assurée sur les composants en périmètre : abonnement aux bulletins CERT-FR, GitHub Security Advisories, npm audit / Dependabot sur les dépôts (sebastien-Safe/safecrm, sebastien-Safe/candy), notifications de sécurité Supabase, Stripe et hébergeurs.</w:t>
      </w:r>
    </w:p>
    <w:p>
      <w:pPr>
        <w:pStyle w:val="Heading2"/>
        <w:spacing w:after="120" w:before="300"/>
      </w:pPr>
      <w:r>
        <w:rPr>
          <w:rFonts w:ascii="Calibri" w:cs="Calibri" w:eastAsia="Calibri" w:hAnsi="Calibri"/>
          <w:b/>
          <w:bCs/>
          <w:color w:val="1E88E5"/>
          <w:sz w:val="24"/>
          <w:szCs w:val="24"/>
        </w:rPr>
        <w:t xml:space="preserve">6.2 Évaluation</w:t>
      </w:r>
    </w:p>
    <w:p>
      <w:pPr>
        <w:spacing w:after="160" w:line="276"/>
      </w:pPr>
      <w:r>
        <w:rPr>
          <w:rFonts w:ascii="Calibri" w:cs="Calibri" w:eastAsia="Calibri" w:hAnsi="Calibri"/>
          <w:color w:val="222222"/>
          <w:sz w:val="21"/>
          <w:szCs w:val="21"/>
        </w:rPr>
        <w:t xml:space="preserve">Chaque alerte est qualifiée selon le tableau de classification (section 5) en tenant compte de l'exposition réelle du composant concerné (accessible publiquement ou non, données traitées, criticité métier).</w:t>
      </w:r>
    </w:p>
    <w:p>
      <w:pPr>
        <w:pStyle w:val="Heading2"/>
        <w:spacing w:after="120" w:before="300"/>
      </w:pPr>
      <w:r>
        <w:rPr>
          <w:rFonts w:ascii="Calibri" w:cs="Calibri" w:eastAsia="Calibri" w:hAnsi="Calibri"/>
          <w:b/>
          <w:bCs/>
          <w:color w:val="1E88E5"/>
          <w:sz w:val="24"/>
          <w:szCs w:val="24"/>
        </w:rPr>
        <w:t xml:space="preserve">6.3 Test</w:t>
      </w:r>
    </w:p>
    <w:p>
      <w:pPr>
        <w:spacing w:after="160" w:line="276"/>
      </w:pPr>
      <w:r>
        <w:rPr>
          <w:rFonts w:ascii="Calibri" w:cs="Calibri" w:eastAsia="Calibri" w:hAnsi="Calibri"/>
          <w:color w:val="222222"/>
          <w:sz w:val="21"/>
          <w:szCs w:val="21"/>
        </w:rPr>
        <w:t xml:space="preserve">Sauf urgence critique justifiant une dérogation, tout correctif est appliqué et validé en environnement de recette avant tout déploiement en production, afin de vérifier l'absence de régression fonctionnelle.</w:t>
      </w:r>
    </w:p>
    <w:p>
      <w:pPr>
        <w:pStyle w:val="Heading2"/>
        <w:spacing w:after="120" w:before="300"/>
      </w:pPr>
      <w:r>
        <w:rPr>
          <w:rFonts w:ascii="Calibri" w:cs="Calibri" w:eastAsia="Calibri" w:hAnsi="Calibri"/>
          <w:b/>
          <w:bCs/>
          <w:color w:val="1E88E5"/>
          <w:sz w:val="24"/>
          <w:szCs w:val="24"/>
        </w:rPr>
        <w:t xml:space="preserve">6.4 Déploiement</w:t>
      </w:r>
    </w:p>
    <w:p>
      <w:pPr>
        <w:spacing w:after="160" w:line="276"/>
      </w:pPr>
      <w:r>
        <w:rPr>
          <w:rFonts w:ascii="Calibri" w:cs="Calibri" w:eastAsia="Calibri" w:hAnsi="Calibri"/>
          <w:color w:val="222222"/>
          <w:sz w:val="21"/>
          <w:szCs w:val="21"/>
        </w:rPr>
        <w:t xml:space="preserve">Le déploiement en production est réalisé dans le respect du délai SLA applicable, en dehors des heures de forte activité lorsque cela est possible pour les correctifs non critiques, et sans délai pour les correctifs critiques.</w:t>
      </w:r>
    </w:p>
    <w:p>
      <w:pPr>
        <w:pStyle w:val="Heading2"/>
        <w:spacing w:after="120" w:before="300"/>
      </w:pPr>
      <w:r>
        <w:rPr>
          <w:rFonts w:ascii="Calibri" w:cs="Calibri" w:eastAsia="Calibri" w:hAnsi="Calibri"/>
          <w:b/>
          <w:bCs/>
          <w:color w:val="1E88E5"/>
          <w:sz w:val="24"/>
          <w:szCs w:val="24"/>
        </w:rPr>
        <w:t xml:space="preserve">6.5 Vérification</w:t>
      </w:r>
    </w:p>
    <w:p>
      <w:pPr>
        <w:spacing w:after="160" w:line="276"/>
      </w:pPr>
      <w:r>
        <w:rPr>
          <w:rFonts w:ascii="Calibri" w:cs="Calibri" w:eastAsia="Calibri" w:hAnsi="Calibri"/>
          <w:color w:val="222222"/>
          <w:sz w:val="21"/>
          <w:szCs w:val="21"/>
        </w:rPr>
        <w:t xml:space="preserve">Après déploiement, une vérification est effectuée pour confirmer l'application effective du correctif (version installée, absence d'erreurs, disponibilité du service) et consignée dans le registre de suivi (annexe).</w:t>
      </w:r>
    </w:p>
    <w:p>
      <w:pPr>
        <w:pStyle w:val="Heading1"/>
        <w:pBdr>
          <w:bottom w:val="single" w:color="D4AF37" w:sz="6" w:space="4"/>
        </w:pBdr>
        <w:spacing w:after="200" w:before="400"/>
      </w:pPr>
      <w:r>
        <w:rPr>
          <w:rFonts w:ascii="Calibri" w:cs="Calibri" w:eastAsia="Calibri" w:hAnsi="Calibri"/>
          <w:b/>
          <w:bCs/>
          <w:color w:val="07111E"/>
          <w:sz w:val="28"/>
          <w:szCs w:val="28"/>
        </w:rPr>
        <w:t xml:space="preserve">7. Procédure d'urgence (vulnérabilité critique ou 0-day)</w:t>
      </w:r>
    </w:p>
    <w:p>
      <w:pPr>
        <w:pStyle w:val="ListParagraph"/>
        <w:numPr>
          <w:ilvl w:val="0"/>
          <w:numId w:val="2"/>
        </w:numPr>
        <w:spacing w:after="80"/>
      </w:pPr>
      <w:r>
        <w:rPr>
          <w:rFonts w:ascii="Calibri" w:cs="Calibri" w:eastAsia="Calibri" w:hAnsi="Calibri"/>
          <w:color w:val="222222"/>
          <w:sz w:val="21"/>
          <w:szCs w:val="21"/>
        </w:rPr>
        <w:t xml:space="preserve">Application immédiate d'une mesure de mitigation temporaire si le correctif définitif n'est pas encore disponible (restriction d'accès, désactivation du composant vulnérable, règle de filtrage).</w:t>
      </w:r>
    </w:p>
    <w:p>
      <w:pPr>
        <w:pStyle w:val="ListParagraph"/>
        <w:numPr>
          <w:ilvl w:val="0"/>
          <w:numId w:val="2"/>
        </w:numPr>
        <w:spacing w:after="80"/>
      </w:pPr>
      <w:r>
        <w:rPr>
          <w:rFonts w:ascii="Calibri" w:cs="Calibri" w:eastAsia="Calibri" w:hAnsi="Calibri"/>
          <w:color w:val="222222"/>
          <w:sz w:val="21"/>
          <w:szCs w:val="21"/>
        </w:rPr>
        <w:t xml:space="preserve">Information sans délai du DPO et, si des données à caractère personnel sont susceptibles d'être affectées, évaluation de la nécessité d'une notification à la CNIL et aux personnes concernées conformément aux articles 33 et 34 du RGPD.</w:t>
      </w:r>
    </w:p>
    <w:p>
      <w:pPr>
        <w:pStyle w:val="ListParagraph"/>
        <w:numPr>
          <w:ilvl w:val="0"/>
          <w:numId w:val="2"/>
        </w:numPr>
        <w:spacing w:after="80"/>
      </w:pPr>
      <w:r>
        <w:rPr>
          <w:rFonts w:ascii="Calibri" w:cs="Calibri" w:eastAsia="Calibri" w:hAnsi="Calibri"/>
          <w:color w:val="222222"/>
          <w:sz w:val="21"/>
          <w:szCs w:val="21"/>
        </w:rPr>
        <w:t xml:space="preserve">Application du correctif définitif dès sa disponibilité, avec test accéléré en recette si le contexte le permet.</w:t>
      </w:r>
    </w:p>
    <w:p>
      <w:pPr>
        <w:pStyle w:val="ListParagraph"/>
        <w:numPr>
          <w:ilvl w:val="0"/>
          <w:numId w:val="2"/>
        </w:numPr>
        <w:spacing w:after="80"/>
      </w:pPr>
      <w:r>
        <w:rPr>
          <w:rFonts w:ascii="Calibri" w:cs="Calibri" w:eastAsia="Calibri" w:hAnsi="Calibri"/>
          <w:color w:val="222222"/>
          <w:sz w:val="21"/>
          <w:szCs w:val="21"/>
        </w:rPr>
        <w:t xml:space="preserve">Rédaction d'un compte rendu d'incident dans les 5 jours ouvrés suivant la résolution.</w:t>
      </w:r>
    </w:p>
    <w:p>
      <w:pPr>
        <w:pStyle w:val="Heading1"/>
        <w:pBdr>
          <w:bottom w:val="single" w:color="D4AF37" w:sz="6" w:space="4"/>
        </w:pBdr>
        <w:spacing w:after="200" w:before="400"/>
      </w:pPr>
      <w:r>
        <w:rPr>
          <w:rFonts w:ascii="Calibri" w:cs="Calibri" w:eastAsia="Calibri" w:hAnsi="Calibri"/>
          <w:b/>
          <w:bCs/>
          <w:color w:val="07111E"/>
          <w:sz w:val="28"/>
          <w:szCs w:val="28"/>
        </w:rPr>
        <w:t xml:space="preserve">8. Traçabilité et preuves</w:t>
      </w:r>
    </w:p>
    <w:p>
      <w:pPr>
        <w:spacing w:after="160" w:line="276"/>
      </w:pPr>
      <w:r>
        <w:rPr>
          <w:rFonts w:ascii="Calibri" w:cs="Calibri" w:eastAsia="Calibri" w:hAnsi="Calibri"/>
          <w:color w:val="222222"/>
          <w:sz w:val="21"/>
          <w:szCs w:val="21"/>
        </w:rPr>
        <w:t xml:space="preserve">Toute application de correctif est consignée dans un registre de suivi comportant a minima : date, composant concerné, version avant/après, niveau de criticité, preuve de test en recette, personne ayant déployé le correctif, et référence (commit GitHub, ticket, changelog). Un modèle de registre figure en annexe.</w:t>
      </w:r>
    </w:p>
    <w:p>
      <w:pPr>
        <w:spacing w:after="160" w:line="276"/>
      </w:pPr>
      <w:r>
        <w:rPr>
          <w:rFonts w:ascii="Calibri" w:cs="Calibri" w:eastAsia="Calibri" w:hAnsi="Calibri"/>
          <w:color w:val="222222"/>
          <w:sz w:val="21"/>
          <w:szCs w:val="21"/>
        </w:rPr>
        <w:t xml:space="preserve">Ce registre constitue une preuve de conformité mobilisable en cas d'audit interne, d'audit client, ou de contrôle CNIL.</w:t>
      </w:r>
    </w:p>
    <w:p>
      <w:pPr>
        <w:pStyle w:val="Heading1"/>
        <w:pBdr>
          <w:bottom w:val="single" w:color="D4AF37" w:sz="6" w:space="4"/>
        </w:pBdr>
        <w:spacing w:after="200" w:before="400"/>
      </w:pPr>
      <w:r>
        <w:rPr>
          <w:rFonts w:ascii="Calibri" w:cs="Calibri" w:eastAsia="Calibri" w:hAnsi="Calibri"/>
          <w:b/>
          <w:bCs/>
          <w:color w:val="07111E"/>
          <w:sz w:val="28"/>
          <w:szCs w:val="28"/>
        </w:rPr>
        <w:t xml:space="preserve">9. Exceptions et risques résiduels</w:t>
      </w:r>
    </w:p>
    <w:p>
      <w:pPr>
        <w:spacing w:after="160" w:line="276"/>
      </w:pPr>
      <w:r>
        <w:rPr>
          <w:rFonts w:ascii="Calibri" w:cs="Calibri" w:eastAsia="Calibri" w:hAnsi="Calibri"/>
          <w:color w:val="222222"/>
          <w:sz w:val="21"/>
          <w:szCs w:val="21"/>
        </w:rPr>
        <w:t xml:space="preserve">Toute impossibilité d'appliquer un correctif dans le délai SLA prévu (dépendance non maintenue, incompatibilité technique, contrainte contractuelle d'un prestataire) doit faire l'objet d'une décision documentée et validée par le DPO, précisant la mesure de mitigation compensatoire mise en place et la date de réévaluation.</w:t>
      </w:r>
    </w:p>
    <w:p>
      <w:pPr>
        <w:pStyle w:val="Heading1"/>
        <w:pBdr>
          <w:bottom w:val="single" w:color="D4AF37" w:sz="6" w:space="4"/>
        </w:pBdr>
        <w:spacing w:after="200" w:before="400"/>
      </w:pPr>
      <w:r>
        <w:rPr>
          <w:rFonts w:ascii="Calibri" w:cs="Calibri" w:eastAsia="Calibri" w:hAnsi="Calibri"/>
          <w:b/>
          <w:bCs/>
          <w:color w:val="07111E"/>
          <w:sz w:val="28"/>
          <w:szCs w:val="28"/>
        </w:rPr>
        <w:t xml:space="preserve">10. Revue de la politique</w:t>
      </w:r>
    </w:p>
    <w:p>
      <w:pPr>
        <w:spacing w:after="160" w:line="276"/>
      </w:pPr>
      <w:r>
        <w:rPr>
          <w:rFonts w:ascii="Calibri" w:cs="Calibri" w:eastAsia="Calibri" w:hAnsi="Calibri"/>
          <w:color w:val="222222"/>
          <w:sz w:val="21"/>
          <w:szCs w:val="21"/>
        </w:rPr>
        <w:t xml:space="preserve">La présente politique est revue au minimum une fois par an, ou à la suite d'un incident de sécurité significatif, d'une évolution réglementaire, ou d'un changement majeur d'infrastructure.</w:t>
      </w:r>
    </w:p>
    <w:p>
      <w:r>
        <w:br w:type="page"/>
      </w:r>
    </w:p>
    <w:p>
      <w:pPr>
        <w:pStyle w:val="Heading1"/>
        <w:pBdr>
          <w:bottom w:val="single" w:color="D4AF37" w:sz="6" w:space="4"/>
        </w:pBdr>
        <w:spacing w:after="200" w:before="400"/>
      </w:pPr>
      <w:r>
        <w:rPr>
          <w:rFonts w:ascii="Calibri" w:cs="Calibri" w:eastAsia="Calibri" w:hAnsi="Calibri"/>
          <w:b/>
          <w:bCs/>
          <w:color w:val="07111E"/>
          <w:sz w:val="28"/>
          <w:szCs w:val="28"/>
        </w:rPr>
        <w:t xml:space="preserve">Annexe — Registre de suivi des correctifs (modèle)</w:t>
      </w:r>
    </w:p>
    <w:p>
      <w:pPr>
        <w:spacing w:after="160" w:line="276"/>
      </w:pPr>
      <w:r>
        <w:rPr>
          <w:rFonts w:ascii="Calibri" w:cs="Calibri" w:eastAsia="Calibri" w:hAnsi="Calibri"/>
          <w:color w:val="222222"/>
          <w:sz w:val="21"/>
          <w:szCs w:val="21"/>
        </w:rPr>
        <w:t xml:space="preserve">Ce tableau peut être dupliqué dans un outil de suivi (feuille de calcul, module CRM S@FE) pour un usage courant.</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1500"/>
        <w:gridCol w:w="1200"/>
        <w:gridCol w:w="1500"/>
        <w:gridCol w:w="1500"/>
        <w:gridCol w:w="900"/>
      </w:tblGrid>
      <w:tr>
        <w:tc>
          <w:tcPr>
            <w:tcW w:type="dxa" w:w="13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Date</w:t>
            </w:r>
          </w:p>
        </w:tc>
        <w:tc>
          <w:tcPr>
            <w:tcW w:type="dxa" w:w="22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Composant</w:t>
            </w:r>
          </w:p>
        </w:tc>
        <w:tc>
          <w:tcPr>
            <w:tcW w:type="dxa" w:w="15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Version avant</w:t>
            </w:r>
          </w:p>
        </w:tc>
        <w:tc>
          <w:tcPr>
            <w:tcW w:type="dxa" w:w="15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Version après</w:t>
            </w:r>
          </w:p>
        </w:tc>
        <w:tc>
          <w:tcPr>
            <w:tcW w:type="dxa" w:w="12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Niveau</w:t>
            </w:r>
          </w:p>
        </w:tc>
        <w:tc>
          <w:tcPr>
            <w:tcW w:type="dxa" w:w="15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Testé en recette</w:t>
            </w:r>
          </w:p>
        </w:tc>
        <w:tc>
          <w:tcPr>
            <w:tcW w:type="dxa" w:w="15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Déployé par</w:t>
            </w:r>
          </w:p>
        </w:tc>
        <w:tc>
          <w:tcPr>
            <w:tcW w:type="dxa" w:w="900"/>
            <w:shd w:fill="07111E"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Preuve / réf.</w:t>
            </w:r>
          </w:p>
        </w:tc>
      </w:tr>
      <w:tr>
        <w:tc>
          <w:tcPr>
            <w:tcW w:type="dxa" w:w="13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9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r>
      <w:tr>
        <w:tc>
          <w:tcPr>
            <w:tcW w:type="dxa" w:w="13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9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r>
      <w:tr>
        <w:tc>
          <w:tcPr>
            <w:tcW w:type="dxa" w:w="13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9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r>
      <w:tr>
        <w:tc>
          <w:tcPr>
            <w:tcW w:type="dxa" w:w="13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900"/>
            <w:shd w:fill="FFFFFF"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6"/>
        <w:szCs w:val="16"/>
      </w:rPr>
      <w:t xml:space="preserve">S@FE-POL-SEC-001 · v1.0 · Page </w:t>
    </w:r>
    <w:r>
      <w:rPr>
        <w:rFonts w:ascii="Calibri" w:cs="Calibri" w:eastAsia="Calibri" w:hAnsi="Calibri"/>
        <w:color w:val="5B6470"/>
        <w:sz w:val="16"/>
        <w:szCs w:val="16"/>
      </w:rPr>
      <w:fldChar w:fldCharType="begin"/>
      <w:instrText xml:space="preserve">PAGE</w:instrText>
      <w:fldChar w:fldCharType="separate"/>
      <w:fldChar w:fldCharType="end"/>
    </w:r>
    <w:r>
      <w:rPr>
        <w:rFonts w:ascii="Calibri" w:cs="Calibri" w:eastAsia="Calibri" w:hAnsi="Calibri"/>
        <w:color w:val="5B6470"/>
        <w:sz w:val="16"/>
        <w:szCs w:val="16"/>
      </w:rPr>
      <w:t xml:space="preserve"> / </w:t>
    </w:r>
    <w:r>
      <w:rPr>
        <w:rFonts w:ascii="Calibri" w:cs="Calibri" w:eastAsia="Calibri" w:hAnsi="Calibri"/>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jc w:val="right"/>
    </w:pPr>
    <w:r>
      <w:rPr>
        <w:rFonts w:ascii="Calibri" w:cs="Calibri" w:eastAsia="Calibri" w:hAnsi="Calibri"/>
        <w:i/>
        <w:iCs/>
        <w:color w:val="5B6470"/>
        <w:sz w:val="16"/>
        <w:szCs w:val="16"/>
      </w:rPr>
      <w:t xml:space="preserve">S@FE — Politique de gestion des correctifs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2026-07-03T11:31:34.482Z</dcterms:created>
  <dcterms:modified xsi:type="dcterms:W3CDTF">2026-07-03T11:31:34.483Z</dcterms:modified>
</cp:coreProperties>
</file>

<file path=docProps/custom.xml><?xml version="1.0" encoding="utf-8"?>
<Properties xmlns="http://schemas.openxmlformats.org/officeDocument/2006/custom-properties" xmlns:vt="http://schemas.openxmlformats.org/officeDocument/2006/docPropsVTypes"/>
</file>