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A387" w14:textId="422EEDD8" w:rsidR="0035456A" w:rsidRDefault="0035456A" w:rsidP="0035456A">
      <w:pPr>
        <w:pStyle w:val="Titre"/>
        <w:jc w:val="center"/>
        <w:rPr>
          <w:rFonts w:ascii="Times New Roman" w:hAnsi="Times New Roman" w:cs="Times New Roman"/>
          <w:b/>
          <w:bCs/>
          <w:sz w:val="96"/>
          <w:szCs w:val="96"/>
        </w:rPr>
      </w:pPr>
      <w:r w:rsidRPr="0035456A">
        <w:rPr>
          <w:rFonts w:ascii="Times New Roman" w:hAnsi="Times New Roman" w:cs="Times New Roman"/>
          <w:b/>
          <w:bCs/>
          <w:sz w:val="96"/>
          <w:szCs w:val="96"/>
        </w:rPr>
        <w:t>Statistiques Descriptives, Base de Données</w:t>
      </w:r>
    </w:p>
    <w:p w14:paraId="1D673EA7" w14:textId="1CDB5593" w:rsidR="00BE0BD3" w:rsidRDefault="00BE0BD3" w:rsidP="00BE0BD3"/>
    <w:p w14:paraId="256EB821" w14:textId="239A87A8" w:rsidR="00BE0BD3" w:rsidRDefault="00BE0BD3" w:rsidP="00BE0BD3"/>
    <w:p w14:paraId="7A52FE50" w14:textId="5CF32B70" w:rsidR="00BE0BD3" w:rsidRDefault="00BE0BD3" w:rsidP="00BE0BD3"/>
    <w:p w14:paraId="77D64293" w14:textId="71C4E7E7" w:rsidR="00BE0BD3" w:rsidRDefault="00BE0BD3" w:rsidP="00BE0BD3"/>
    <w:p w14:paraId="63DEBF85" w14:textId="23AE3F04" w:rsidR="0035456A" w:rsidRDefault="0035456A" w:rsidP="0035456A"/>
    <w:p w14:paraId="6EB430E7" w14:textId="11C4ED74" w:rsidR="00A1302C" w:rsidRDefault="00A1302C" w:rsidP="0035456A"/>
    <w:p w14:paraId="19310DC2" w14:textId="252706D4" w:rsidR="00A1302C" w:rsidRPr="00376AEF" w:rsidRDefault="00A1302C" w:rsidP="00A1302C">
      <w:pPr>
        <w:rPr>
          <w:rFonts w:ascii="Times New Roman" w:hAnsi="Times New Roman" w:cs="Times New Roman"/>
          <w:sz w:val="24"/>
          <w:szCs w:val="24"/>
        </w:rPr>
      </w:pPr>
      <w:r w:rsidRPr="00376AEF">
        <w:rPr>
          <w:rFonts w:ascii="Times New Roman" w:hAnsi="Times New Roman" w:cs="Times New Roman"/>
          <w:sz w:val="24"/>
          <w:szCs w:val="24"/>
        </w:rPr>
        <w:t>En bref </w:t>
      </w:r>
      <w:r>
        <w:rPr>
          <w:rFonts w:ascii="Times New Roman" w:hAnsi="Times New Roman" w:cs="Times New Roman"/>
          <w:sz w:val="24"/>
          <w:szCs w:val="24"/>
        </w:rPr>
        <w:t>sur la base de donnée Stat11StockBis</w:t>
      </w:r>
      <w:r w:rsidRPr="00376AEF">
        <w:rPr>
          <w:rFonts w:ascii="Times New Roman" w:hAnsi="Times New Roman" w:cs="Times New Roman"/>
          <w:sz w:val="24"/>
          <w:szCs w:val="24"/>
        </w:rPr>
        <w:t xml:space="preserve">: </w:t>
      </w:r>
    </w:p>
    <w:p w14:paraId="09E98BB2" w14:textId="69F66497" w:rsidR="00A1302C" w:rsidRPr="00376AEF" w:rsidRDefault="00A1302C" w:rsidP="00A1302C">
      <w:pPr>
        <w:rPr>
          <w:rFonts w:ascii="Times New Roman" w:hAnsi="Times New Roman" w:cs="Times New Roman"/>
          <w:sz w:val="24"/>
          <w:szCs w:val="24"/>
        </w:rPr>
      </w:pPr>
      <w:r>
        <w:rPr>
          <w:rFonts w:ascii="Times New Roman" w:hAnsi="Times New Roman" w:cs="Times New Roman"/>
          <w:b/>
          <w:bCs/>
          <w:sz w:val="24"/>
          <w:szCs w:val="24"/>
        </w:rPr>
        <w:t>9 109</w:t>
      </w:r>
      <w:r w:rsidRPr="00376AEF">
        <w:rPr>
          <w:rFonts w:ascii="Times New Roman" w:hAnsi="Times New Roman" w:cs="Times New Roman"/>
          <w:sz w:val="24"/>
          <w:szCs w:val="24"/>
        </w:rPr>
        <w:t xml:space="preserve"> d’opérations à prime à la bourse de Paris du 16/08/1898 au 30/06/1914.</w:t>
      </w:r>
    </w:p>
    <w:p w14:paraId="5FA0D253" w14:textId="1832C709" w:rsidR="00A1302C" w:rsidRPr="00376AEF" w:rsidRDefault="00A1302C" w:rsidP="00A1302C">
      <w:pPr>
        <w:rPr>
          <w:rFonts w:ascii="Times New Roman" w:hAnsi="Times New Roman" w:cs="Times New Roman"/>
          <w:sz w:val="24"/>
          <w:szCs w:val="24"/>
        </w:rPr>
      </w:pPr>
      <w:r w:rsidRPr="00376AEF">
        <w:rPr>
          <w:rFonts w:ascii="Times New Roman" w:hAnsi="Times New Roman" w:cs="Times New Roman"/>
          <w:sz w:val="24"/>
          <w:szCs w:val="24"/>
          <w:lang w:val="en-US"/>
        </w:rPr>
        <w:t xml:space="preserve">Sur les </w:t>
      </w:r>
      <w:r>
        <w:rPr>
          <w:rFonts w:ascii="Times New Roman" w:hAnsi="Times New Roman" w:cs="Times New Roman"/>
          <w:b/>
          <w:bCs/>
          <w:sz w:val="24"/>
          <w:szCs w:val="24"/>
        </w:rPr>
        <w:t>9 109</w:t>
      </w:r>
      <w:r w:rsidRPr="00376AEF">
        <w:rPr>
          <w:rFonts w:ascii="Times New Roman" w:hAnsi="Times New Roman" w:cs="Times New Roman"/>
          <w:sz w:val="24"/>
          <w:szCs w:val="24"/>
        </w:rPr>
        <w:t xml:space="preserve"> </w:t>
      </w:r>
      <w:r w:rsidRPr="00376AEF">
        <w:rPr>
          <w:rFonts w:ascii="Times New Roman" w:hAnsi="Times New Roman" w:cs="Times New Roman"/>
          <w:sz w:val="24"/>
          <w:szCs w:val="24"/>
          <w:lang w:val="en-US"/>
        </w:rPr>
        <w:t xml:space="preserve">prix journaliers : </w:t>
      </w:r>
    </w:p>
    <w:p w14:paraId="37B1AFDE" w14:textId="453FD081" w:rsidR="00A1302C" w:rsidRPr="00376AEF" w:rsidRDefault="00A1302C" w:rsidP="00A1302C">
      <w:pPr>
        <w:numPr>
          <w:ilvl w:val="0"/>
          <w:numId w:val="1"/>
        </w:numPr>
        <w:rPr>
          <w:rFonts w:ascii="Times New Roman" w:hAnsi="Times New Roman" w:cs="Times New Roman"/>
          <w:sz w:val="24"/>
          <w:szCs w:val="24"/>
        </w:rPr>
      </w:pPr>
      <w:r>
        <w:rPr>
          <w:rFonts w:ascii="Times New Roman" w:hAnsi="Times New Roman" w:cs="Times New Roman"/>
          <w:b/>
          <w:bCs/>
          <w:sz w:val="24"/>
          <w:szCs w:val="24"/>
        </w:rPr>
        <w:t>3 130</w:t>
      </w:r>
      <w:r w:rsidRPr="00376AEF">
        <w:rPr>
          <w:rFonts w:ascii="Times New Roman" w:hAnsi="Times New Roman" w:cs="Times New Roman"/>
          <w:sz w:val="24"/>
          <w:szCs w:val="24"/>
        </w:rPr>
        <w:t xml:space="preserve"> fois il n’y a eu qu’une seule transaction à prime (et donc ‘Min’ = ‘Max’).</w:t>
      </w:r>
    </w:p>
    <w:p w14:paraId="36B498D6" w14:textId="20FAC9DF" w:rsidR="00A1302C" w:rsidRPr="00376AEF" w:rsidRDefault="00A1302C" w:rsidP="00A1302C">
      <w:pPr>
        <w:numPr>
          <w:ilvl w:val="0"/>
          <w:numId w:val="1"/>
        </w:numPr>
        <w:rPr>
          <w:rFonts w:ascii="Times New Roman" w:hAnsi="Times New Roman" w:cs="Times New Roman"/>
          <w:sz w:val="24"/>
          <w:szCs w:val="24"/>
        </w:rPr>
      </w:pPr>
      <w:r w:rsidRPr="00376AEF">
        <w:rPr>
          <w:rFonts w:ascii="Times New Roman" w:hAnsi="Times New Roman" w:cs="Times New Roman"/>
          <w:b/>
          <w:bCs/>
          <w:sz w:val="24"/>
          <w:szCs w:val="24"/>
        </w:rPr>
        <w:t>1</w:t>
      </w:r>
      <w:r>
        <w:rPr>
          <w:rFonts w:ascii="Times New Roman" w:hAnsi="Times New Roman" w:cs="Times New Roman"/>
          <w:b/>
          <w:bCs/>
          <w:sz w:val="24"/>
          <w:szCs w:val="24"/>
        </w:rPr>
        <w:t xml:space="preserve"> 002</w:t>
      </w:r>
      <w:r w:rsidRPr="00376AEF">
        <w:rPr>
          <w:rFonts w:ascii="Times New Roman" w:hAnsi="Times New Roman" w:cs="Times New Roman"/>
          <w:sz w:val="24"/>
          <w:szCs w:val="24"/>
        </w:rPr>
        <w:t xml:space="preserve"> fois où il n’y a eu qu’une seule transaction de titre (‘Spot_Price_Min’ =‘Spot_Price_Max’).</w:t>
      </w:r>
    </w:p>
    <w:p w14:paraId="495824A1" w14:textId="279D7A53" w:rsidR="00A1302C" w:rsidRPr="00376AEF" w:rsidRDefault="00A1302C" w:rsidP="00A1302C">
      <w:pPr>
        <w:numPr>
          <w:ilvl w:val="0"/>
          <w:numId w:val="1"/>
        </w:numPr>
        <w:rPr>
          <w:rFonts w:ascii="Times New Roman" w:hAnsi="Times New Roman" w:cs="Times New Roman"/>
          <w:sz w:val="24"/>
          <w:szCs w:val="24"/>
        </w:rPr>
      </w:pPr>
      <w:r w:rsidRPr="00376AEF">
        <w:rPr>
          <w:rFonts w:ascii="Times New Roman" w:hAnsi="Times New Roman" w:cs="Times New Roman"/>
          <w:sz w:val="24"/>
          <w:szCs w:val="24"/>
        </w:rPr>
        <w:t xml:space="preserve">Il est arrivé </w:t>
      </w:r>
      <w:r>
        <w:rPr>
          <w:rFonts w:ascii="Times New Roman" w:hAnsi="Times New Roman" w:cs="Times New Roman"/>
          <w:b/>
          <w:bCs/>
          <w:sz w:val="24"/>
          <w:szCs w:val="24"/>
        </w:rPr>
        <w:t xml:space="preserve">165 </w:t>
      </w:r>
      <w:r w:rsidRPr="00376AEF">
        <w:rPr>
          <w:rFonts w:ascii="Times New Roman" w:hAnsi="Times New Roman" w:cs="Times New Roman"/>
          <w:sz w:val="24"/>
          <w:szCs w:val="24"/>
        </w:rPr>
        <w:t>fois que le titre ne s’échange pas pendant la séance et où le cours au comptant de la veille a été reporté (Is_Yesterday = 1).</w:t>
      </w:r>
    </w:p>
    <w:p w14:paraId="55821AFD" w14:textId="47358E95" w:rsidR="00A1302C" w:rsidRPr="00376AEF" w:rsidRDefault="00A1302C" w:rsidP="00A1302C">
      <w:pPr>
        <w:numPr>
          <w:ilvl w:val="0"/>
          <w:numId w:val="1"/>
        </w:numPr>
        <w:rPr>
          <w:rFonts w:ascii="Times New Roman" w:hAnsi="Times New Roman" w:cs="Times New Roman"/>
          <w:sz w:val="24"/>
          <w:szCs w:val="24"/>
        </w:rPr>
      </w:pPr>
      <w:r w:rsidRPr="00376AEF">
        <w:rPr>
          <w:rFonts w:ascii="Times New Roman" w:hAnsi="Times New Roman" w:cs="Times New Roman"/>
          <w:sz w:val="24"/>
          <w:szCs w:val="24"/>
        </w:rPr>
        <w:t xml:space="preserve">Il est arrivé </w:t>
      </w:r>
      <w:r>
        <w:rPr>
          <w:rFonts w:ascii="Times New Roman" w:hAnsi="Times New Roman" w:cs="Times New Roman"/>
          <w:b/>
          <w:bCs/>
          <w:sz w:val="24"/>
          <w:szCs w:val="24"/>
        </w:rPr>
        <w:t>26</w:t>
      </w:r>
      <w:r w:rsidRPr="00376AEF">
        <w:rPr>
          <w:rFonts w:ascii="Times New Roman" w:hAnsi="Times New Roman" w:cs="Times New Roman"/>
          <w:sz w:val="24"/>
          <w:szCs w:val="24"/>
        </w:rPr>
        <w:t xml:space="preserve"> fois que le titre ne s’échange pas ni le jour même, ni la veille. Dans ce cas, le cours de compensation a été utilisé. Le cours de compensation n’est pas un prix de transaction mais un prix calculé par les agents de change permettant de liquider les opérations à prime qui se dénouent ce jour.</w:t>
      </w:r>
    </w:p>
    <w:p w14:paraId="7B524854" w14:textId="38DD6102" w:rsidR="00A1302C" w:rsidRDefault="00A1302C" w:rsidP="00A1302C">
      <w:pPr>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11 </w:t>
      </w:r>
      <w:r>
        <w:rPr>
          <w:rFonts w:ascii="Times New Roman" w:hAnsi="Times New Roman" w:cs="Times New Roman"/>
          <w:sz w:val="24"/>
          <w:szCs w:val="24"/>
        </w:rPr>
        <w:t>stocks sont représentés.</w:t>
      </w:r>
    </w:p>
    <w:p w14:paraId="1FDF5AE0" w14:textId="56AE1259" w:rsidR="005954E6" w:rsidRDefault="005954E6" w:rsidP="005954E6">
      <w:pPr>
        <w:rPr>
          <w:rFonts w:ascii="Times New Roman" w:hAnsi="Times New Roman" w:cs="Times New Roman"/>
          <w:sz w:val="24"/>
          <w:szCs w:val="24"/>
        </w:rPr>
      </w:pPr>
    </w:p>
    <w:p w14:paraId="6F02CB67" w14:textId="59421DE9" w:rsidR="005954E6" w:rsidRDefault="005954E6" w:rsidP="005954E6">
      <w:pPr>
        <w:rPr>
          <w:rFonts w:ascii="Times New Roman" w:hAnsi="Times New Roman" w:cs="Times New Roman"/>
          <w:sz w:val="24"/>
          <w:szCs w:val="24"/>
        </w:rPr>
      </w:pPr>
    </w:p>
    <w:p w14:paraId="58825846" w14:textId="1B814D19" w:rsidR="005954E6" w:rsidRDefault="005954E6" w:rsidP="005954E6">
      <w:pPr>
        <w:rPr>
          <w:rFonts w:ascii="Times New Roman" w:hAnsi="Times New Roman" w:cs="Times New Roman"/>
          <w:sz w:val="24"/>
          <w:szCs w:val="24"/>
        </w:rPr>
      </w:pPr>
    </w:p>
    <w:p w14:paraId="4A777F7D" w14:textId="6562BC38" w:rsidR="005954E6" w:rsidRDefault="005954E6" w:rsidP="005954E6">
      <w:pPr>
        <w:rPr>
          <w:rFonts w:ascii="Times New Roman" w:hAnsi="Times New Roman" w:cs="Times New Roman"/>
          <w:sz w:val="24"/>
          <w:szCs w:val="24"/>
        </w:rPr>
      </w:pPr>
    </w:p>
    <w:p w14:paraId="17DB9A12" w14:textId="5EB26354" w:rsidR="005954E6" w:rsidRDefault="005954E6" w:rsidP="005954E6">
      <w:pPr>
        <w:rPr>
          <w:rFonts w:ascii="Times New Roman" w:hAnsi="Times New Roman" w:cs="Times New Roman"/>
          <w:sz w:val="24"/>
          <w:szCs w:val="24"/>
        </w:rPr>
      </w:pPr>
    </w:p>
    <w:p w14:paraId="7C996F98" w14:textId="255B1182" w:rsidR="005954E6" w:rsidRDefault="005954E6" w:rsidP="005954E6">
      <w:pPr>
        <w:rPr>
          <w:rFonts w:ascii="Times New Roman" w:hAnsi="Times New Roman" w:cs="Times New Roman"/>
          <w:sz w:val="24"/>
          <w:szCs w:val="24"/>
        </w:rPr>
      </w:pPr>
    </w:p>
    <w:p w14:paraId="31BB624C" w14:textId="7CB6CEAE" w:rsidR="005954E6" w:rsidRDefault="005954E6" w:rsidP="005954E6">
      <w:pPr>
        <w:rPr>
          <w:rFonts w:ascii="Times New Roman" w:hAnsi="Times New Roman" w:cs="Times New Roman"/>
          <w:sz w:val="24"/>
          <w:szCs w:val="24"/>
        </w:rPr>
      </w:pPr>
    </w:p>
    <w:p w14:paraId="0C23D795" w14:textId="3BA8A1F4" w:rsidR="005954E6" w:rsidRDefault="005954E6" w:rsidP="005954E6">
      <w:pPr>
        <w:rPr>
          <w:rFonts w:ascii="Times New Roman" w:hAnsi="Times New Roman" w:cs="Times New Roman"/>
          <w:sz w:val="24"/>
          <w:szCs w:val="24"/>
        </w:rPr>
      </w:pPr>
      <w:r>
        <w:rPr>
          <w:noProof/>
        </w:rPr>
        <w:drawing>
          <wp:inline distT="0" distB="0" distL="0" distR="0" wp14:anchorId="7CFCB266" wp14:editId="54898B0F">
            <wp:extent cx="5760720" cy="44951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95165"/>
                    </a:xfrm>
                    <a:prstGeom prst="rect">
                      <a:avLst/>
                    </a:prstGeom>
                  </pic:spPr>
                </pic:pic>
              </a:graphicData>
            </a:graphic>
          </wp:inline>
        </w:drawing>
      </w:r>
    </w:p>
    <w:p w14:paraId="4F59EFDF" w14:textId="5C7071FE" w:rsidR="005954E6" w:rsidRPr="00B512E9" w:rsidRDefault="00B512E9" w:rsidP="005954E6">
      <w:pPr>
        <w:rPr>
          <w:rFonts w:ascii="Times New Roman" w:hAnsi="Times New Roman" w:cs="Times New Roman"/>
          <w:sz w:val="18"/>
          <w:szCs w:val="18"/>
        </w:rPr>
      </w:pPr>
      <w:r w:rsidRPr="00B512E9">
        <w:rPr>
          <w:rFonts w:ascii="Times New Roman" w:hAnsi="Times New Roman" w:cs="Times New Roman"/>
          <w:sz w:val="18"/>
          <w:szCs w:val="18"/>
        </w:rPr>
        <w:t xml:space="preserve">Fréquence de ‘No trade’ sur les 24 stocks les plus liquides à la Bourse de Paris entre 1898 et 1914. </w:t>
      </w:r>
    </w:p>
    <w:p w14:paraId="60D217EE" w14:textId="3E4317B2" w:rsidR="00B512E9" w:rsidRDefault="00B512E9" w:rsidP="005954E6">
      <w:pPr>
        <w:rPr>
          <w:rFonts w:ascii="Times New Roman" w:hAnsi="Times New Roman" w:cs="Times New Roman"/>
          <w:sz w:val="18"/>
          <w:szCs w:val="18"/>
        </w:rPr>
      </w:pPr>
      <w:r w:rsidRPr="00B512E9">
        <w:rPr>
          <w:rFonts w:ascii="Times New Roman" w:hAnsi="Times New Roman" w:cs="Times New Roman"/>
          <w:sz w:val="18"/>
          <w:szCs w:val="18"/>
        </w:rPr>
        <w:t>Un jour est considéré comme un ‘No trade’ lorsque le stock x n’est pas échangé durant ce jour-là. Nous ne connaissons donc pas la valeur de l’option pour la quinzaine en question. Les résultats sont affichés en %.</w:t>
      </w:r>
    </w:p>
    <w:p w14:paraId="2EF0D391" w14:textId="19EE7B64" w:rsidR="00B512E9" w:rsidRPr="00B512E9" w:rsidRDefault="00B512E9" w:rsidP="005954E6">
      <w:pPr>
        <w:rPr>
          <w:rFonts w:ascii="Times New Roman" w:hAnsi="Times New Roman" w:cs="Times New Roman"/>
          <w:sz w:val="18"/>
          <w:szCs w:val="18"/>
        </w:rPr>
      </w:pPr>
      <w:r>
        <w:rPr>
          <w:rFonts w:ascii="Times New Roman" w:hAnsi="Times New Roman" w:cs="Times New Roman"/>
          <w:sz w:val="18"/>
          <w:szCs w:val="18"/>
        </w:rPr>
        <w:t>La barre rouge, fixée à 15% est là pour afficher la limite supérieure à partir de laquelle nous avons sélectionné les stocks.</w:t>
      </w:r>
    </w:p>
    <w:p w14:paraId="36FBF0DE" w14:textId="6D006CBD" w:rsidR="0035456A" w:rsidRDefault="0035456A" w:rsidP="0035456A">
      <w:pPr>
        <w:rPr>
          <w:rFonts w:ascii="Times New Roman" w:hAnsi="Times New Roman" w:cs="Times New Roman"/>
          <w:sz w:val="24"/>
          <w:szCs w:val="24"/>
        </w:rPr>
      </w:pPr>
    </w:p>
    <w:p w14:paraId="44587E74" w14:textId="11F80248" w:rsidR="00B512E9" w:rsidRDefault="00B512E9" w:rsidP="0035456A">
      <w:pPr>
        <w:rPr>
          <w:rFonts w:ascii="Times New Roman" w:hAnsi="Times New Roman" w:cs="Times New Roman"/>
          <w:sz w:val="24"/>
          <w:szCs w:val="24"/>
        </w:rPr>
      </w:pPr>
    </w:p>
    <w:p w14:paraId="727C4B56" w14:textId="25631183" w:rsidR="00B512E9" w:rsidRDefault="00B512E9" w:rsidP="0035456A">
      <w:pPr>
        <w:rPr>
          <w:rFonts w:ascii="Times New Roman" w:hAnsi="Times New Roman" w:cs="Times New Roman"/>
          <w:sz w:val="24"/>
          <w:szCs w:val="24"/>
        </w:rPr>
      </w:pPr>
    </w:p>
    <w:p w14:paraId="64A39E63" w14:textId="740026F6" w:rsidR="00B512E9" w:rsidRDefault="00B512E9" w:rsidP="0035456A">
      <w:pPr>
        <w:rPr>
          <w:rFonts w:ascii="Times New Roman" w:hAnsi="Times New Roman" w:cs="Times New Roman"/>
          <w:sz w:val="24"/>
          <w:szCs w:val="24"/>
        </w:rPr>
      </w:pPr>
    </w:p>
    <w:p w14:paraId="44E393E4" w14:textId="69AD7AA7" w:rsidR="00B512E9" w:rsidRDefault="00B512E9" w:rsidP="0035456A">
      <w:pPr>
        <w:rPr>
          <w:rFonts w:ascii="Times New Roman" w:hAnsi="Times New Roman" w:cs="Times New Roman"/>
          <w:sz w:val="24"/>
          <w:szCs w:val="24"/>
        </w:rPr>
      </w:pPr>
    </w:p>
    <w:p w14:paraId="3F4736EE" w14:textId="2A130F45" w:rsidR="00B512E9" w:rsidRDefault="00B512E9" w:rsidP="0035456A">
      <w:pPr>
        <w:rPr>
          <w:rFonts w:ascii="Times New Roman" w:hAnsi="Times New Roman" w:cs="Times New Roman"/>
          <w:sz w:val="24"/>
          <w:szCs w:val="24"/>
        </w:rPr>
      </w:pPr>
    </w:p>
    <w:p w14:paraId="383D967E" w14:textId="2DC3441B" w:rsidR="00B512E9" w:rsidRDefault="00B512E9" w:rsidP="0035456A">
      <w:pPr>
        <w:rPr>
          <w:rFonts w:ascii="Times New Roman" w:hAnsi="Times New Roman" w:cs="Times New Roman"/>
          <w:sz w:val="24"/>
          <w:szCs w:val="24"/>
        </w:rPr>
      </w:pPr>
    </w:p>
    <w:p w14:paraId="37187B9A" w14:textId="414A9AD6" w:rsidR="00B512E9" w:rsidRDefault="00B512E9" w:rsidP="0035456A">
      <w:pPr>
        <w:rPr>
          <w:rFonts w:ascii="Times New Roman" w:hAnsi="Times New Roman" w:cs="Times New Roman"/>
          <w:sz w:val="24"/>
          <w:szCs w:val="24"/>
        </w:rPr>
      </w:pPr>
    </w:p>
    <w:p w14:paraId="6622E00D" w14:textId="62FA4A88" w:rsidR="00B512E9" w:rsidRDefault="00B512E9" w:rsidP="0035456A">
      <w:pPr>
        <w:rPr>
          <w:rFonts w:ascii="Times New Roman" w:hAnsi="Times New Roman" w:cs="Times New Roman"/>
          <w:sz w:val="24"/>
          <w:szCs w:val="24"/>
        </w:rPr>
      </w:pPr>
    </w:p>
    <w:p w14:paraId="370A2E41" w14:textId="77777777" w:rsidR="00B512E9" w:rsidRPr="00B512E9" w:rsidRDefault="00B512E9" w:rsidP="0035456A"/>
    <w:p w14:paraId="07492A0B" w14:textId="6FDA3209" w:rsidR="0035456A" w:rsidRDefault="0035456A" w:rsidP="006721EC">
      <w:pPr>
        <w:pStyle w:val="Titre1"/>
        <w:jc w:val="center"/>
      </w:pPr>
      <w:r w:rsidRPr="006721EC">
        <w:rPr>
          <w:b/>
          <w:bCs/>
        </w:rPr>
        <w:lastRenderedPageBreak/>
        <w:t>Statistiques générales</w:t>
      </w:r>
      <w:r>
        <w:t> :</w:t>
      </w:r>
    </w:p>
    <w:p w14:paraId="20BE692D" w14:textId="77777777" w:rsidR="006721EC" w:rsidRPr="006721EC" w:rsidRDefault="006721EC" w:rsidP="006721EC"/>
    <w:tbl>
      <w:tblPr>
        <w:tblStyle w:val="TableauGrille5Fonc-Accentuation1"/>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1039"/>
        <w:gridCol w:w="898"/>
        <w:gridCol w:w="988"/>
        <w:gridCol w:w="898"/>
        <w:gridCol w:w="1113"/>
        <w:gridCol w:w="1150"/>
        <w:gridCol w:w="1191"/>
      </w:tblGrid>
      <w:tr w:rsidR="006D4472" w14:paraId="3A8AA8DB" w14:textId="0361AA16" w:rsidTr="006D4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Borders>
              <w:top w:val="single" w:sz="4" w:space="0" w:color="auto"/>
              <w:left w:val="single" w:sz="4" w:space="0" w:color="auto"/>
              <w:bottom w:val="single" w:sz="4" w:space="0" w:color="auto"/>
              <w:right w:val="single" w:sz="4" w:space="0" w:color="auto"/>
            </w:tcBorders>
          </w:tcPr>
          <w:p w14:paraId="687B36C4" w14:textId="29584069" w:rsidR="006D4472" w:rsidRPr="006721EC" w:rsidRDefault="006D4472" w:rsidP="006721EC">
            <w:pPr>
              <w:pStyle w:val="Titre"/>
              <w:jc w:val="center"/>
              <w:rPr>
                <w:rFonts w:ascii="Times New Roman" w:hAnsi="Times New Roman" w:cs="Times New Roman"/>
                <w:b w:val="0"/>
                <w:bCs w:val="0"/>
                <w:sz w:val="22"/>
                <w:szCs w:val="22"/>
              </w:rPr>
            </w:pPr>
            <w:r w:rsidRPr="006721EC">
              <w:rPr>
                <w:rFonts w:ascii="Times New Roman" w:hAnsi="Times New Roman" w:cs="Times New Roman"/>
                <w:sz w:val="22"/>
                <w:szCs w:val="22"/>
              </w:rPr>
              <w:t>Nom de la variable</w:t>
            </w:r>
          </w:p>
        </w:tc>
        <w:tc>
          <w:tcPr>
            <w:tcW w:w="1039" w:type="dxa"/>
            <w:tcBorders>
              <w:top w:val="single" w:sz="4" w:space="0" w:color="auto"/>
              <w:left w:val="single" w:sz="4" w:space="0" w:color="auto"/>
              <w:right w:val="single" w:sz="4" w:space="0" w:color="auto"/>
            </w:tcBorders>
            <w:vAlign w:val="center"/>
          </w:tcPr>
          <w:p w14:paraId="59F0DA43" w14:textId="0F14E38B" w:rsidR="006D4472" w:rsidRPr="006721EC" w:rsidRDefault="006D4472" w:rsidP="006721EC">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6721EC">
              <w:rPr>
                <w:rFonts w:ascii="Times New Roman" w:hAnsi="Times New Roman" w:cs="Times New Roman"/>
                <w:sz w:val="22"/>
                <w:szCs w:val="22"/>
              </w:rPr>
              <w:t>Moyenne observée</w:t>
            </w:r>
          </w:p>
        </w:tc>
        <w:tc>
          <w:tcPr>
            <w:tcW w:w="898" w:type="dxa"/>
            <w:tcBorders>
              <w:top w:val="single" w:sz="4" w:space="0" w:color="auto"/>
              <w:left w:val="single" w:sz="4" w:space="0" w:color="auto"/>
              <w:right w:val="single" w:sz="4" w:space="0" w:color="auto"/>
            </w:tcBorders>
            <w:vAlign w:val="center"/>
          </w:tcPr>
          <w:p w14:paraId="07F22D1C" w14:textId="10B504A4" w:rsidR="006D4472" w:rsidRPr="006721EC" w:rsidRDefault="006D4472" w:rsidP="006721EC">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6721EC">
              <w:rPr>
                <w:rFonts w:ascii="Times New Roman" w:hAnsi="Times New Roman" w:cs="Times New Roman"/>
                <w:sz w:val="22"/>
                <w:szCs w:val="22"/>
              </w:rPr>
              <w:t>1</w:t>
            </w:r>
            <w:r w:rsidRPr="006721EC">
              <w:rPr>
                <w:rFonts w:ascii="Times New Roman" w:hAnsi="Times New Roman" w:cs="Times New Roman"/>
                <w:sz w:val="22"/>
                <w:szCs w:val="22"/>
                <w:vertAlign w:val="superscript"/>
              </w:rPr>
              <w:t>er</w:t>
            </w:r>
            <w:r w:rsidRPr="006721EC">
              <w:rPr>
                <w:rFonts w:ascii="Times New Roman" w:hAnsi="Times New Roman" w:cs="Times New Roman"/>
                <w:sz w:val="22"/>
                <w:szCs w:val="22"/>
              </w:rPr>
              <w:t xml:space="preserve"> quartile</w:t>
            </w:r>
          </w:p>
        </w:tc>
        <w:tc>
          <w:tcPr>
            <w:tcW w:w="988" w:type="dxa"/>
            <w:tcBorders>
              <w:top w:val="single" w:sz="4" w:space="0" w:color="auto"/>
              <w:left w:val="single" w:sz="4" w:space="0" w:color="auto"/>
              <w:right w:val="single" w:sz="4" w:space="0" w:color="auto"/>
            </w:tcBorders>
            <w:vAlign w:val="center"/>
          </w:tcPr>
          <w:p w14:paraId="70B94CCE" w14:textId="3EB933F0" w:rsidR="006D4472" w:rsidRPr="006721EC" w:rsidRDefault="006D4472" w:rsidP="006721EC">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6721EC">
              <w:rPr>
                <w:rFonts w:ascii="Times New Roman" w:hAnsi="Times New Roman" w:cs="Times New Roman"/>
                <w:sz w:val="22"/>
                <w:szCs w:val="22"/>
              </w:rPr>
              <w:t>Médiane</w:t>
            </w:r>
          </w:p>
        </w:tc>
        <w:tc>
          <w:tcPr>
            <w:tcW w:w="898" w:type="dxa"/>
            <w:tcBorders>
              <w:top w:val="single" w:sz="4" w:space="0" w:color="auto"/>
              <w:left w:val="single" w:sz="4" w:space="0" w:color="auto"/>
              <w:right w:val="double" w:sz="18" w:space="0" w:color="auto"/>
            </w:tcBorders>
            <w:vAlign w:val="center"/>
          </w:tcPr>
          <w:p w14:paraId="0FC47F8A" w14:textId="42C2EC00" w:rsidR="006D4472" w:rsidRPr="006721EC" w:rsidRDefault="006D4472" w:rsidP="006721EC">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6721EC">
              <w:rPr>
                <w:rFonts w:ascii="Times New Roman" w:hAnsi="Times New Roman" w:cs="Times New Roman"/>
                <w:sz w:val="22"/>
                <w:szCs w:val="22"/>
              </w:rPr>
              <w:t>3</w:t>
            </w:r>
            <w:r w:rsidRPr="006721EC">
              <w:rPr>
                <w:rFonts w:ascii="Times New Roman" w:hAnsi="Times New Roman" w:cs="Times New Roman"/>
                <w:sz w:val="22"/>
                <w:szCs w:val="22"/>
                <w:vertAlign w:val="superscript"/>
              </w:rPr>
              <w:t>ème</w:t>
            </w:r>
            <w:r w:rsidRPr="006721EC">
              <w:rPr>
                <w:rFonts w:ascii="Times New Roman" w:hAnsi="Times New Roman" w:cs="Times New Roman"/>
                <w:sz w:val="22"/>
                <w:szCs w:val="22"/>
              </w:rPr>
              <w:t xml:space="preserve"> quartile</w:t>
            </w:r>
          </w:p>
        </w:tc>
        <w:tc>
          <w:tcPr>
            <w:tcW w:w="1113" w:type="dxa"/>
            <w:tcBorders>
              <w:top w:val="single" w:sz="4" w:space="0" w:color="auto"/>
              <w:left w:val="double" w:sz="18" w:space="0" w:color="auto"/>
              <w:right w:val="single" w:sz="4" w:space="0" w:color="auto"/>
            </w:tcBorders>
            <w:vAlign w:val="center"/>
          </w:tcPr>
          <w:p w14:paraId="005D78A0" w14:textId="3B782BC2" w:rsidR="006D4472" w:rsidRPr="006721EC" w:rsidRDefault="006D4472" w:rsidP="006721EC">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6721EC">
              <w:rPr>
                <w:rFonts w:ascii="Times New Roman" w:hAnsi="Times New Roman" w:cs="Times New Roman"/>
                <w:sz w:val="22"/>
                <w:szCs w:val="22"/>
              </w:rPr>
              <w:t>Minimum</w:t>
            </w:r>
          </w:p>
        </w:tc>
        <w:tc>
          <w:tcPr>
            <w:tcW w:w="1150" w:type="dxa"/>
            <w:tcBorders>
              <w:top w:val="single" w:sz="4" w:space="0" w:color="auto"/>
              <w:left w:val="single" w:sz="4" w:space="0" w:color="auto"/>
              <w:right w:val="single" w:sz="4" w:space="0" w:color="auto"/>
            </w:tcBorders>
            <w:vAlign w:val="center"/>
          </w:tcPr>
          <w:p w14:paraId="1CE93B0A" w14:textId="2CE53D18" w:rsidR="006D4472" w:rsidRPr="006721EC" w:rsidRDefault="006D4472" w:rsidP="006721EC">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6721EC">
              <w:rPr>
                <w:rFonts w:ascii="Times New Roman" w:hAnsi="Times New Roman" w:cs="Times New Roman"/>
                <w:sz w:val="22"/>
                <w:szCs w:val="22"/>
              </w:rPr>
              <w:t>Maximum</w:t>
            </w:r>
          </w:p>
        </w:tc>
        <w:tc>
          <w:tcPr>
            <w:tcW w:w="1191" w:type="dxa"/>
            <w:tcBorders>
              <w:top w:val="single" w:sz="4" w:space="0" w:color="auto"/>
              <w:left w:val="single" w:sz="4" w:space="0" w:color="auto"/>
              <w:right w:val="single" w:sz="4" w:space="0" w:color="auto"/>
            </w:tcBorders>
            <w:vAlign w:val="center"/>
          </w:tcPr>
          <w:p w14:paraId="54C6AE36" w14:textId="50F046F1" w:rsidR="006D4472" w:rsidRPr="006721EC" w:rsidRDefault="006D4472" w:rsidP="006D4472">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Ecart-type</w:t>
            </w:r>
          </w:p>
        </w:tc>
      </w:tr>
      <w:tr w:rsidR="006D4472" w14:paraId="7FBCC121" w14:textId="65162B80" w:rsidTr="006D4472">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21" w:type="dxa"/>
            <w:tcBorders>
              <w:left w:val="single" w:sz="4" w:space="0" w:color="auto"/>
              <w:bottom w:val="single" w:sz="4" w:space="0" w:color="auto"/>
            </w:tcBorders>
          </w:tcPr>
          <w:p w14:paraId="747CA096" w14:textId="6249EBE7" w:rsidR="006D4472" w:rsidRPr="006721EC" w:rsidRDefault="006D4472" w:rsidP="006721EC">
            <w:pPr>
              <w:pStyle w:val="Titre"/>
              <w:jc w:val="center"/>
              <w:rPr>
                <w:rFonts w:ascii="Times New Roman" w:hAnsi="Times New Roman" w:cs="Times New Roman"/>
                <w:b w:val="0"/>
                <w:bCs w:val="0"/>
                <w:sz w:val="22"/>
                <w:szCs w:val="22"/>
              </w:rPr>
            </w:pPr>
            <w:r w:rsidRPr="006721EC">
              <w:rPr>
                <w:rFonts w:ascii="Times New Roman" w:hAnsi="Times New Roman" w:cs="Times New Roman"/>
                <w:sz w:val="22"/>
                <w:szCs w:val="22"/>
              </w:rPr>
              <w:t>MIN</w:t>
            </w:r>
          </w:p>
        </w:tc>
        <w:tc>
          <w:tcPr>
            <w:tcW w:w="1039" w:type="dxa"/>
            <w:vAlign w:val="center"/>
          </w:tcPr>
          <w:p w14:paraId="6C29A22F" w14:textId="1ED37186"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1011.29</w:t>
            </w:r>
          </w:p>
        </w:tc>
        <w:tc>
          <w:tcPr>
            <w:tcW w:w="898" w:type="dxa"/>
            <w:vAlign w:val="center"/>
          </w:tcPr>
          <w:p w14:paraId="143FE37B" w14:textId="748BC9A0"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377</w:t>
            </w:r>
          </w:p>
        </w:tc>
        <w:tc>
          <w:tcPr>
            <w:tcW w:w="988" w:type="dxa"/>
            <w:vAlign w:val="center"/>
          </w:tcPr>
          <w:p w14:paraId="7206A9A4" w14:textId="21768381"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718</w:t>
            </w:r>
          </w:p>
        </w:tc>
        <w:tc>
          <w:tcPr>
            <w:tcW w:w="898" w:type="dxa"/>
            <w:tcBorders>
              <w:right w:val="double" w:sz="18" w:space="0" w:color="auto"/>
            </w:tcBorders>
            <w:vAlign w:val="center"/>
          </w:tcPr>
          <w:p w14:paraId="04A6EF1E" w14:textId="3CDB0E4C"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1580</w:t>
            </w:r>
          </w:p>
        </w:tc>
        <w:tc>
          <w:tcPr>
            <w:tcW w:w="1113" w:type="dxa"/>
            <w:tcBorders>
              <w:left w:val="double" w:sz="18" w:space="0" w:color="auto"/>
            </w:tcBorders>
            <w:vAlign w:val="center"/>
          </w:tcPr>
          <w:p w14:paraId="1330132A" w14:textId="00148B88"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20.5</w:t>
            </w:r>
          </w:p>
        </w:tc>
        <w:tc>
          <w:tcPr>
            <w:tcW w:w="1150" w:type="dxa"/>
            <w:vAlign w:val="center"/>
          </w:tcPr>
          <w:p w14:paraId="365BEDC0" w14:textId="4C7B52D7"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6495</w:t>
            </w:r>
          </w:p>
        </w:tc>
        <w:tc>
          <w:tcPr>
            <w:tcW w:w="1191" w:type="dxa"/>
            <w:vAlign w:val="center"/>
          </w:tcPr>
          <w:p w14:paraId="1E8FBE32" w14:textId="498BFC95" w:rsidR="006D4472" w:rsidRPr="006721EC" w:rsidRDefault="006D4472" w:rsidP="006D4472">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671.6</w:t>
            </w:r>
          </w:p>
        </w:tc>
      </w:tr>
      <w:tr w:rsidR="006D4472" w14:paraId="51A3E88B" w14:textId="0B803ED6" w:rsidTr="006D4472">
        <w:trPr>
          <w:trHeight w:val="510"/>
        </w:trPr>
        <w:tc>
          <w:tcPr>
            <w:cnfStyle w:val="001000000000" w:firstRow="0" w:lastRow="0" w:firstColumn="1" w:lastColumn="0" w:oddVBand="0" w:evenVBand="0" w:oddHBand="0" w:evenHBand="0" w:firstRowFirstColumn="0" w:firstRowLastColumn="0" w:lastRowFirstColumn="0" w:lastRowLastColumn="0"/>
            <w:tcW w:w="2221" w:type="dxa"/>
            <w:tcBorders>
              <w:left w:val="single" w:sz="4" w:space="0" w:color="auto"/>
              <w:bottom w:val="single" w:sz="4" w:space="0" w:color="auto"/>
            </w:tcBorders>
          </w:tcPr>
          <w:p w14:paraId="0749FBCA" w14:textId="6F76DB79" w:rsidR="006D4472" w:rsidRPr="006721EC" w:rsidRDefault="006D4472" w:rsidP="006721EC">
            <w:pPr>
              <w:pStyle w:val="Titre"/>
              <w:jc w:val="center"/>
              <w:rPr>
                <w:rFonts w:ascii="Times New Roman" w:hAnsi="Times New Roman" w:cs="Times New Roman"/>
                <w:b w:val="0"/>
                <w:bCs w:val="0"/>
                <w:sz w:val="22"/>
                <w:szCs w:val="22"/>
              </w:rPr>
            </w:pPr>
            <w:r w:rsidRPr="006721EC">
              <w:rPr>
                <w:rFonts w:ascii="Times New Roman" w:hAnsi="Times New Roman" w:cs="Times New Roman"/>
                <w:sz w:val="22"/>
                <w:szCs w:val="22"/>
              </w:rPr>
              <w:t>MAX</w:t>
            </w:r>
          </w:p>
        </w:tc>
        <w:tc>
          <w:tcPr>
            <w:tcW w:w="1039" w:type="dxa"/>
            <w:vAlign w:val="center"/>
          </w:tcPr>
          <w:p w14:paraId="3C4D1DF8" w14:textId="3D722370" w:rsidR="006D4472" w:rsidRPr="006721EC" w:rsidRDefault="006D4472" w:rsidP="006721EC">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1015.76</w:t>
            </w:r>
          </w:p>
        </w:tc>
        <w:tc>
          <w:tcPr>
            <w:tcW w:w="898" w:type="dxa"/>
            <w:vAlign w:val="center"/>
          </w:tcPr>
          <w:p w14:paraId="758385A9" w14:textId="79B6099A" w:rsidR="006D4472" w:rsidRPr="006721EC" w:rsidRDefault="006D4472" w:rsidP="006721EC">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379</w:t>
            </w:r>
          </w:p>
        </w:tc>
        <w:tc>
          <w:tcPr>
            <w:tcW w:w="988" w:type="dxa"/>
            <w:vAlign w:val="center"/>
          </w:tcPr>
          <w:p w14:paraId="51ABAB0A" w14:textId="7B1456DD" w:rsidR="006D4472" w:rsidRPr="006721EC" w:rsidRDefault="006D4472" w:rsidP="006721EC">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720</w:t>
            </w:r>
          </w:p>
        </w:tc>
        <w:tc>
          <w:tcPr>
            <w:tcW w:w="898" w:type="dxa"/>
            <w:tcBorders>
              <w:right w:val="double" w:sz="18" w:space="0" w:color="auto"/>
            </w:tcBorders>
            <w:vAlign w:val="center"/>
          </w:tcPr>
          <w:p w14:paraId="41CD8835" w14:textId="252009D8" w:rsidR="006D4472" w:rsidRPr="006721EC" w:rsidRDefault="006D4472" w:rsidP="006721EC">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1585</w:t>
            </w:r>
          </w:p>
        </w:tc>
        <w:tc>
          <w:tcPr>
            <w:tcW w:w="1113" w:type="dxa"/>
            <w:tcBorders>
              <w:left w:val="double" w:sz="18" w:space="0" w:color="auto"/>
            </w:tcBorders>
            <w:vAlign w:val="center"/>
          </w:tcPr>
          <w:p w14:paraId="04EF3079" w14:textId="3226CDF4" w:rsidR="006D4472" w:rsidRPr="006721EC" w:rsidRDefault="006D4472" w:rsidP="006721EC">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22.5</w:t>
            </w:r>
          </w:p>
        </w:tc>
        <w:tc>
          <w:tcPr>
            <w:tcW w:w="1150" w:type="dxa"/>
            <w:vAlign w:val="center"/>
          </w:tcPr>
          <w:p w14:paraId="672355EA" w14:textId="490F2955" w:rsidR="006D4472" w:rsidRPr="006721EC" w:rsidRDefault="006D4472" w:rsidP="006721EC">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6520</w:t>
            </w:r>
          </w:p>
        </w:tc>
        <w:tc>
          <w:tcPr>
            <w:tcW w:w="1191" w:type="dxa"/>
            <w:vAlign w:val="center"/>
          </w:tcPr>
          <w:p w14:paraId="51F753D5" w14:textId="646BA08A" w:rsidR="006D4472" w:rsidRPr="006721EC" w:rsidRDefault="006D4472" w:rsidP="006D4472">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675.8</w:t>
            </w:r>
          </w:p>
        </w:tc>
      </w:tr>
      <w:tr w:rsidR="006D4472" w14:paraId="1279DC78" w14:textId="18580625" w:rsidTr="006D447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1" w:type="dxa"/>
            <w:tcBorders>
              <w:left w:val="single" w:sz="4" w:space="0" w:color="auto"/>
              <w:bottom w:val="single" w:sz="4" w:space="0" w:color="auto"/>
            </w:tcBorders>
          </w:tcPr>
          <w:p w14:paraId="181D03FA" w14:textId="646E38D1" w:rsidR="006D4472" w:rsidRPr="006721EC" w:rsidRDefault="006D4472" w:rsidP="006721EC">
            <w:pPr>
              <w:pStyle w:val="Titre"/>
              <w:jc w:val="center"/>
              <w:rPr>
                <w:rFonts w:ascii="Times New Roman" w:hAnsi="Times New Roman" w:cs="Times New Roman"/>
                <w:sz w:val="22"/>
                <w:szCs w:val="22"/>
              </w:rPr>
            </w:pPr>
            <w:r w:rsidRPr="006721EC">
              <w:rPr>
                <w:rFonts w:ascii="Times New Roman" w:hAnsi="Times New Roman" w:cs="Times New Roman"/>
                <w:sz w:val="22"/>
                <w:szCs w:val="22"/>
              </w:rPr>
              <w:t>SPOT_PRICE_MIN</w:t>
            </w:r>
          </w:p>
        </w:tc>
        <w:tc>
          <w:tcPr>
            <w:tcW w:w="1039" w:type="dxa"/>
            <w:vAlign w:val="center"/>
          </w:tcPr>
          <w:p w14:paraId="2C2E3B61" w14:textId="0CBB8DE2"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987.36</w:t>
            </w:r>
          </w:p>
        </w:tc>
        <w:tc>
          <w:tcPr>
            <w:tcW w:w="898" w:type="dxa"/>
            <w:vAlign w:val="center"/>
          </w:tcPr>
          <w:p w14:paraId="04A8BC80" w14:textId="1038C70F"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366</w:t>
            </w:r>
          </w:p>
        </w:tc>
        <w:tc>
          <w:tcPr>
            <w:tcW w:w="988" w:type="dxa"/>
            <w:vAlign w:val="center"/>
          </w:tcPr>
          <w:p w14:paraId="5854402F" w14:textId="4876B9DB"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706</w:t>
            </w:r>
          </w:p>
        </w:tc>
        <w:tc>
          <w:tcPr>
            <w:tcW w:w="898" w:type="dxa"/>
            <w:tcBorders>
              <w:right w:val="double" w:sz="18" w:space="0" w:color="auto"/>
            </w:tcBorders>
            <w:vAlign w:val="center"/>
          </w:tcPr>
          <w:p w14:paraId="332F2211" w14:textId="545780EF"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1542</w:t>
            </w:r>
          </w:p>
        </w:tc>
        <w:tc>
          <w:tcPr>
            <w:tcW w:w="1113" w:type="dxa"/>
            <w:tcBorders>
              <w:left w:val="double" w:sz="18" w:space="0" w:color="auto"/>
            </w:tcBorders>
            <w:vAlign w:val="center"/>
          </w:tcPr>
          <w:p w14:paraId="323ABB98" w14:textId="081843DD"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17</w:t>
            </w:r>
          </w:p>
        </w:tc>
        <w:tc>
          <w:tcPr>
            <w:tcW w:w="1150" w:type="dxa"/>
            <w:vAlign w:val="center"/>
          </w:tcPr>
          <w:p w14:paraId="123B92C2" w14:textId="09920FEE"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6415</w:t>
            </w:r>
          </w:p>
        </w:tc>
        <w:tc>
          <w:tcPr>
            <w:tcW w:w="1191" w:type="dxa"/>
            <w:vAlign w:val="center"/>
          </w:tcPr>
          <w:p w14:paraId="03F08546" w14:textId="07928392" w:rsidR="006D4472" w:rsidRPr="006721EC" w:rsidRDefault="006D4472" w:rsidP="006D4472">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649.8</w:t>
            </w:r>
          </w:p>
        </w:tc>
      </w:tr>
      <w:tr w:rsidR="006D4472" w14:paraId="540485D0" w14:textId="3D357B03" w:rsidTr="006D4472">
        <w:tc>
          <w:tcPr>
            <w:cnfStyle w:val="001000000000" w:firstRow="0" w:lastRow="0" w:firstColumn="1" w:lastColumn="0" w:oddVBand="0" w:evenVBand="0" w:oddHBand="0" w:evenHBand="0" w:firstRowFirstColumn="0" w:firstRowLastColumn="0" w:lastRowFirstColumn="0" w:lastRowLastColumn="0"/>
            <w:tcW w:w="2221" w:type="dxa"/>
            <w:tcBorders>
              <w:left w:val="single" w:sz="4" w:space="0" w:color="auto"/>
            </w:tcBorders>
          </w:tcPr>
          <w:p w14:paraId="3265A377" w14:textId="77777777" w:rsidR="006D4472" w:rsidRPr="006721EC" w:rsidRDefault="006D4472" w:rsidP="006721EC">
            <w:pPr>
              <w:rPr>
                <w:rFonts w:ascii="Times New Roman" w:hAnsi="Times New Roman" w:cs="Times New Roman"/>
                <w:b w:val="0"/>
                <w:bCs w:val="0"/>
              </w:rPr>
            </w:pPr>
            <w:r w:rsidRPr="006721EC">
              <w:rPr>
                <w:rFonts w:ascii="Times New Roman" w:hAnsi="Times New Roman" w:cs="Times New Roman"/>
              </w:rPr>
              <w:t>SPOT_PRICE_MAX</w:t>
            </w:r>
          </w:p>
          <w:p w14:paraId="2EF28FBD" w14:textId="4379CACB" w:rsidR="006D4472" w:rsidRPr="006721EC" w:rsidRDefault="006D4472" w:rsidP="006721EC">
            <w:pPr>
              <w:pStyle w:val="Titre"/>
              <w:jc w:val="center"/>
              <w:rPr>
                <w:rFonts w:ascii="Times New Roman" w:hAnsi="Times New Roman" w:cs="Times New Roman"/>
                <w:b w:val="0"/>
                <w:bCs w:val="0"/>
                <w:sz w:val="22"/>
                <w:szCs w:val="22"/>
              </w:rPr>
            </w:pPr>
          </w:p>
        </w:tc>
        <w:tc>
          <w:tcPr>
            <w:tcW w:w="1039" w:type="dxa"/>
            <w:vAlign w:val="center"/>
          </w:tcPr>
          <w:p w14:paraId="2A8114DC" w14:textId="3A281FA9" w:rsidR="006D4472" w:rsidRPr="006721EC" w:rsidRDefault="006D4472" w:rsidP="006721EC">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994.45</w:t>
            </w:r>
          </w:p>
        </w:tc>
        <w:tc>
          <w:tcPr>
            <w:tcW w:w="898" w:type="dxa"/>
            <w:vAlign w:val="center"/>
          </w:tcPr>
          <w:p w14:paraId="350A1589" w14:textId="0CF14341" w:rsidR="006D4472" w:rsidRPr="006721EC" w:rsidRDefault="006D4472" w:rsidP="006721EC">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370</w:t>
            </w:r>
          </w:p>
        </w:tc>
        <w:tc>
          <w:tcPr>
            <w:tcW w:w="988" w:type="dxa"/>
            <w:vAlign w:val="center"/>
          </w:tcPr>
          <w:p w14:paraId="5EE90BE6" w14:textId="0C326869" w:rsidR="006D4472" w:rsidRPr="006721EC" w:rsidRDefault="006D4472" w:rsidP="006721EC">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712</w:t>
            </w:r>
          </w:p>
        </w:tc>
        <w:tc>
          <w:tcPr>
            <w:tcW w:w="898" w:type="dxa"/>
            <w:tcBorders>
              <w:right w:val="double" w:sz="18" w:space="0" w:color="auto"/>
            </w:tcBorders>
            <w:vAlign w:val="center"/>
          </w:tcPr>
          <w:p w14:paraId="2D7A5C4F" w14:textId="0F31E1BB" w:rsidR="006D4472" w:rsidRPr="006721EC" w:rsidRDefault="006D4472" w:rsidP="006721EC">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1550.5</w:t>
            </w:r>
          </w:p>
        </w:tc>
        <w:tc>
          <w:tcPr>
            <w:tcW w:w="1113" w:type="dxa"/>
            <w:tcBorders>
              <w:left w:val="double" w:sz="18" w:space="0" w:color="auto"/>
            </w:tcBorders>
            <w:vAlign w:val="center"/>
          </w:tcPr>
          <w:p w14:paraId="4A340FCD" w14:textId="250067AE" w:rsidR="006D4472" w:rsidRPr="006721EC" w:rsidRDefault="006D4472" w:rsidP="006721EC">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18</w:t>
            </w:r>
          </w:p>
        </w:tc>
        <w:tc>
          <w:tcPr>
            <w:tcW w:w="1150" w:type="dxa"/>
            <w:vAlign w:val="center"/>
          </w:tcPr>
          <w:p w14:paraId="4A4F01CA" w14:textId="6F279A23" w:rsidR="006D4472" w:rsidRPr="006721EC" w:rsidRDefault="006D4472" w:rsidP="006721EC">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6721EC">
              <w:rPr>
                <w:rFonts w:ascii="Times New Roman" w:hAnsi="Times New Roman" w:cs="Times New Roman"/>
                <w:sz w:val="22"/>
                <w:szCs w:val="22"/>
              </w:rPr>
              <w:t>6425</w:t>
            </w:r>
          </w:p>
        </w:tc>
        <w:tc>
          <w:tcPr>
            <w:tcW w:w="1191" w:type="dxa"/>
            <w:vAlign w:val="center"/>
          </w:tcPr>
          <w:p w14:paraId="47BCFEDA" w14:textId="136C43C6" w:rsidR="006D4472" w:rsidRPr="006721EC" w:rsidRDefault="006D4472" w:rsidP="006D4472">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655.14</w:t>
            </w:r>
          </w:p>
        </w:tc>
      </w:tr>
      <w:tr w:rsidR="006D4472" w14:paraId="29EEB8CA" w14:textId="77777777" w:rsidTr="006D447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1" w:type="dxa"/>
            <w:tcBorders>
              <w:left w:val="single" w:sz="4" w:space="0" w:color="auto"/>
              <w:bottom w:val="single" w:sz="4" w:space="0" w:color="auto"/>
            </w:tcBorders>
          </w:tcPr>
          <w:p w14:paraId="40003845" w14:textId="12B26A59" w:rsidR="006D4472" w:rsidRPr="006721EC" w:rsidRDefault="006D4472" w:rsidP="006721EC">
            <w:pPr>
              <w:rPr>
                <w:rFonts w:ascii="Times New Roman" w:hAnsi="Times New Roman" w:cs="Times New Roman"/>
              </w:rPr>
            </w:pPr>
            <w:r>
              <w:rPr>
                <w:rFonts w:ascii="Times New Roman" w:hAnsi="Times New Roman" w:cs="Times New Roman"/>
              </w:rPr>
              <w:t>OPTION_VALUE</w:t>
            </w:r>
          </w:p>
        </w:tc>
        <w:tc>
          <w:tcPr>
            <w:tcW w:w="1039" w:type="dxa"/>
            <w:vAlign w:val="center"/>
          </w:tcPr>
          <w:p w14:paraId="637B74D3" w14:textId="58835C6F"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p>
        </w:tc>
        <w:tc>
          <w:tcPr>
            <w:tcW w:w="898" w:type="dxa"/>
            <w:vAlign w:val="center"/>
          </w:tcPr>
          <w:p w14:paraId="123DA09E" w14:textId="6D03E517"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p>
        </w:tc>
        <w:tc>
          <w:tcPr>
            <w:tcW w:w="988" w:type="dxa"/>
            <w:vAlign w:val="center"/>
          </w:tcPr>
          <w:p w14:paraId="61477855" w14:textId="33D41A86"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p>
        </w:tc>
        <w:tc>
          <w:tcPr>
            <w:tcW w:w="898" w:type="dxa"/>
            <w:tcBorders>
              <w:right w:val="double" w:sz="18" w:space="0" w:color="auto"/>
            </w:tcBorders>
            <w:vAlign w:val="center"/>
          </w:tcPr>
          <w:p w14:paraId="0DE031CB" w14:textId="0514E34C"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20</w:t>
            </w:r>
          </w:p>
        </w:tc>
        <w:tc>
          <w:tcPr>
            <w:tcW w:w="1113" w:type="dxa"/>
            <w:tcBorders>
              <w:left w:val="double" w:sz="18" w:space="0" w:color="auto"/>
            </w:tcBorders>
            <w:vAlign w:val="center"/>
          </w:tcPr>
          <w:p w14:paraId="6CE2F536" w14:textId="21C1FE38"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0.5</w:t>
            </w:r>
          </w:p>
        </w:tc>
        <w:tc>
          <w:tcPr>
            <w:tcW w:w="1150" w:type="dxa"/>
            <w:vAlign w:val="center"/>
          </w:tcPr>
          <w:p w14:paraId="59E608DC" w14:textId="4A161B82" w:rsidR="006D4472" w:rsidRPr="006721EC" w:rsidRDefault="006D4472" w:rsidP="006721EC">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100</w:t>
            </w:r>
          </w:p>
        </w:tc>
        <w:tc>
          <w:tcPr>
            <w:tcW w:w="1191" w:type="dxa"/>
            <w:vAlign w:val="center"/>
          </w:tcPr>
          <w:p w14:paraId="68EEBDA8" w14:textId="65AAC6DA" w:rsidR="006D4472" w:rsidRDefault="006D4472" w:rsidP="006D4472">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p>
        </w:tc>
      </w:tr>
    </w:tbl>
    <w:p w14:paraId="697059F5" w14:textId="304755E8" w:rsidR="00B466F2" w:rsidRDefault="00B466F2" w:rsidP="006721EC">
      <w:pPr>
        <w:pStyle w:val="Titre"/>
        <w:rPr>
          <w:rFonts w:ascii="Times New Roman" w:hAnsi="Times New Roman" w:cs="Times New Roman"/>
          <w:b/>
          <w:bCs/>
          <w:sz w:val="18"/>
          <w:szCs w:val="18"/>
        </w:rPr>
      </w:pPr>
    </w:p>
    <w:p w14:paraId="34014BC2" w14:textId="77777777" w:rsidR="006721EC" w:rsidRPr="00043134" w:rsidRDefault="006721EC" w:rsidP="006D4472">
      <w:pPr>
        <w:pStyle w:val="NormalWeb"/>
        <w:spacing w:before="0" w:beforeAutospacing="0" w:after="0" w:afterAutospacing="0"/>
        <w:rPr>
          <w:sz w:val="18"/>
          <w:szCs w:val="18"/>
        </w:rPr>
      </w:pPr>
      <w:r w:rsidRPr="00043134">
        <w:rPr>
          <w:b/>
          <w:bCs/>
          <w:sz w:val="18"/>
          <w:szCs w:val="18"/>
        </w:rPr>
        <w:t>MIN</w:t>
      </w:r>
      <w:r w:rsidRPr="00043134">
        <w:rPr>
          <w:sz w:val="18"/>
          <w:szCs w:val="18"/>
        </w:rPr>
        <w:t> : somme entre le « pied de la prime » (correspondrait actuellement au prix ‘Strike’) et la valeur du « dont » (valeur de l’option) tel qu’affiché sur la cote. Le min correspond au prix le plus bas échangé lors d’une séance.</w:t>
      </w:r>
    </w:p>
    <w:p w14:paraId="049FC0D1" w14:textId="6CE54E7F" w:rsidR="006721EC" w:rsidRPr="00043134" w:rsidRDefault="006721EC" w:rsidP="006D4472">
      <w:pPr>
        <w:pStyle w:val="NormalWeb"/>
        <w:spacing w:before="0" w:beforeAutospacing="0" w:after="0" w:afterAutospacing="0"/>
        <w:rPr>
          <w:sz w:val="18"/>
          <w:szCs w:val="18"/>
        </w:rPr>
      </w:pPr>
      <w:r w:rsidRPr="00043134">
        <w:rPr>
          <w:b/>
          <w:bCs/>
          <w:sz w:val="18"/>
          <w:szCs w:val="18"/>
        </w:rPr>
        <w:t>MAX</w:t>
      </w:r>
      <w:r w:rsidRPr="00043134">
        <w:rPr>
          <w:sz w:val="18"/>
          <w:szCs w:val="18"/>
        </w:rPr>
        <w:t> : Même chose que pour MIN mais cela correspond au prix maximum échangé au cours d’une séance.</w:t>
      </w:r>
    </w:p>
    <w:p w14:paraId="7FB4BE94" w14:textId="77777777" w:rsidR="006721EC" w:rsidRPr="00043134" w:rsidRDefault="006721EC" w:rsidP="006D4472">
      <w:pPr>
        <w:pStyle w:val="NormalWeb"/>
        <w:spacing w:before="0" w:beforeAutospacing="0" w:after="0" w:afterAutospacing="0"/>
        <w:rPr>
          <w:sz w:val="18"/>
          <w:szCs w:val="18"/>
        </w:rPr>
      </w:pPr>
      <w:r w:rsidRPr="00043134">
        <w:rPr>
          <w:b/>
          <w:bCs/>
          <w:sz w:val="18"/>
          <w:szCs w:val="18"/>
        </w:rPr>
        <w:t>SPOT_PRICE_MIN</w:t>
      </w:r>
      <w:r w:rsidRPr="00043134">
        <w:rPr>
          <w:sz w:val="18"/>
          <w:szCs w:val="18"/>
        </w:rPr>
        <w:t> : Prix Spot minimum de l’action échangé au cours de la séance.</w:t>
      </w:r>
    </w:p>
    <w:p w14:paraId="6A4619F0" w14:textId="62AC9752" w:rsidR="006D4472" w:rsidRPr="00043134" w:rsidRDefault="006721EC" w:rsidP="006D4472">
      <w:pPr>
        <w:pStyle w:val="NormalWeb"/>
        <w:spacing w:before="0" w:beforeAutospacing="0" w:after="0" w:afterAutospacing="0"/>
        <w:rPr>
          <w:sz w:val="18"/>
          <w:szCs w:val="18"/>
        </w:rPr>
      </w:pPr>
      <w:r w:rsidRPr="00043134">
        <w:rPr>
          <w:b/>
          <w:bCs/>
          <w:sz w:val="18"/>
          <w:szCs w:val="18"/>
        </w:rPr>
        <w:t>SPOT_PRICE_M</w:t>
      </w:r>
      <w:r w:rsidR="0002070F">
        <w:rPr>
          <w:b/>
          <w:bCs/>
          <w:sz w:val="18"/>
          <w:szCs w:val="18"/>
        </w:rPr>
        <w:t>AX</w:t>
      </w:r>
      <w:r w:rsidRPr="00043134">
        <w:rPr>
          <w:sz w:val="18"/>
          <w:szCs w:val="18"/>
        </w:rPr>
        <w:t> : Prix Spot maximum de l’action échangé au cours de la séance.</w:t>
      </w:r>
    </w:p>
    <w:p w14:paraId="5843017E" w14:textId="1E5E0BCB" w:rsidR="006721EC" w:rsidRPr="00043134" w:rsidRDefault="006721EC" w:rsidP="006D4472">
      <w:pPr>
        <w:pStyle w:val="NormalWeb"/>
        <w:spacing w:before="0" w:beforeAutospacing="0" w:after="0" w:afterAutospacing="0"/>
        <w:rPr>
          <w:sz w:val="18"/>
          <w:szCs w:val="18"/>
        </w:rPr>
      </w:pPr>
      <w:r w:rsidRPr="00043134">
        <w:rPr>
          <w:b/>
          <w:bCs/>
          <w:sz w:val="18"/>
          <w:szCs w:val="18"/>
        </w:rPr>
        <w:t>OPTION_VALUE</w:t>
      </w:r>
      <w:r w:rsidRPr="00043134">
        <w:rPr>
          <w:sz w:val="18"/>
          <w:szCs w:val="18"/>
        </w:rPr>
        <w:t> : Valeur de l’option.</w:t>
      </w:r>
    </w:p>
    <w:p w14:paraId="3AFCA63A" w14:textId="77777777" w:rsidR="006D4472" w:rsidRPr="00043134" w:rsidRDefault="006D4472" w:rsidP="006721EC">
      <w:pPr>
        <w:spacing w:after="0"/>
        <w:rPr>
          <w:rFonts w:ascii="Times New Roman" w:hAnsi="Times New Roman" w:cs="Times New Roman"/>
          <w:sz w:val="18"/>
          <w:szCs w:val="18"/>
        </w:rPr>
      </w:pPr>
    </w:p>
    <w:p w14:paraId="3BB782DE" w14:textId="5D5D42F2" w:rsidR="006721EC" w:rsidRDefault="006721EC" w:rsidP="006721EC">
      <w:pPr>
        <w:spacing w:after="0"/>
        <w:rPr>
          <w:rFonts w:ascii="Times New Roman" w:hAnsi="Times New Roman" w:cs="Times New Roman"/>
          <w:sz w:val="18"/>
          <w:szCs w:val="18"/>
        </w:rPr>
      </w:pPr>
      <w:r w:rsidRPr="00043134">
        <w:rPr>
          <w:rFonts w:ascii="Times New Roman" w:hAnsi="Times New Roman" w:cs="Times New Roman"/>
          <w:sz w:val="18"/>
          <w:szCs w:val="18"/>
        </w:rPr>
        <w:t>Note : toutes les valeurs dans le tableau sont en franc.</w:t>
      </w:r>
    </w:p>
    <w:p w14:paraId="315980E5" w14:textId="51B2A017" w:rsidR="00B512E9" w:rsidRPr="00043134" w:rsidRDefault="00A1302C" w:rsidP="006721EC">
      <w:pPr>
        <w:spacing w:after="0"/>
        <w:rPr>
          <w:rFonts w:ascii="Times New Roman" w:hAnsi="Times New Roman" w:cs="Times New Roman"/>
          <w:sz w:val="18"/>
          <w:szCs w:val="18"/>
        </w:rPr>
      </w:pPr>
      <w:r>
        <w:rPr>
          <w:rFonts w:ascii="Times New Roman" w:hAnsi="Times New Roman" w:cs="Times New Roman"/>
          <w:sz w:val="18"/>
          <w:szCs w:val="18"/>
        </w:rPr>
        <w:t>Source : Stat11StockBis</w:t>
      </w:r>
    </w:p>
    <w:p w14:paraId="0A718587" w14:textId="401C4FDA" w:rsidR="00DB6752" w:rsidRDefault="00DB6752" w:rsidP="006721EC">
      <w:pPr>
        <w:spacing w:after="0"/>
        <w:rPr>
          <w:rFonts w:ascii="Times New Roman" w:hAnsi="Times New Roman" w:cs="Times New Roman"/>
          <w:sz w:val="16"/>
          <w:szCs w:val="16"/>
        </w:rPr>
      </w:pPr>
    </w:p>
    <w:p w14:paraId="193046CC" w14:textId="6C18C976" w:rsidR="00DB6752" w:rsidRDefault="00DB6752" w:rsidP="006721EC">
      <w:pPr>
        <w:spacing w:after="0"/>
        <w:rPr>
          <w:rFonts w:ascii="Times New Roman" w:hAnsi="Times New Roman" w:cs="Times New Roman"/>
          <w:sz w:val="16"/>
          <w:szCs w:val="16"/>
        </w:rPr>
      </w:pPr>
    </w:p>
    <w:p w14:paraId="0DF5AD67" w14:textId="235F7CC9" w:rsidR="00DB6752" w:rsidRDefault="00DB6752" w:rsidP="006721EC">
      <w:pPr>
        <w:spacing w:after="0"/>
        <w:rPr>
          <w:rFonts w:ascii="Times New Roman" w:hAnsi="Times New Roman" w:cs="Times New Roman"/>
          <w:sz w:val="16"/>
          <w:szCs w:val="16"/>
        </w:rPr>
      </w:pPr>
      <w:r>
        <w:rPr>
          <w:noProof/>
        </w:rPr>
        <w:drawing>
          <wp:inline distT="0" distB="0" distL="0" distR="0" wp14:anchorId="6B95A995" wp14:editId="5E55F9DD">
            <wp:extent cx="5760720" cy="40817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81780"/>
                    </a:xfrm>
                    <a:prstGeom prst="rect">
                      <a:avLst/>
                    </a:prstGeom>
                  </pic:spPr>
                </pic:pic>
              </a:graphicData>
            </a:graphic>
          </wp:inline>
        </w:drawing>
      </w:r>
    </w:p>
    <w:p w14:paraId="26437DE7" w14:textId="45618152" w:rsidR="00A1302C" w:rsidRDefault="00DB6752" w:rsidP="00A1302C">
      <w:pPr>
        <w:spacing w:after="0"/>
        <w:rPr>
          <w:rFonts w:ascii="Times New Roman" w:hAnsi="Times New Roman" w:cs="Times New Roman"/>
          <w:sz w:val="18"/>
          <w:szCs w:val="18"/>
        </w:rPr>
      </w:pPr>
      <w:r w:rsidRPr="00DB6752">
        <w:rPr>
          <w:rFonts w:ascii="Times New Roman" w:hAnsi="Times New Roman" w:cs="Times New Roman"/>
          <w:sz w:val="18"/>
          <w:szCs w:val="18"/>
        </w:rPr>
        <w:t xml:space="preserve">Valeur historique du taux sans risque mensuel </w:t>
      </w:r>
      <w:r w:rsidR="003A24FE">
        <w:rPr>
          <w:rFonts w:ascii="Times New Roman" w:hAnsi="Times New Roman" w:cs="Times New Roman"/>
          <w:sz w:val="18"/>
          <w:szCs w:val="18"/>
        </w:rPr>
        <w:t xml:space="preserve">(en %) </w:t>
      </w:r>
      <w:r w:rsidRPr="00DB6752">
        <w:rPr>
          <w:rFonts w:ascii="Times New Roman" w:hAnsi="Times New Roman" w:cs="Times New Roman"/>
          <w:sz w:val="18"/>
          <w:szCs w:val="18"/>
        </w:rPr>
        <w:t>appliqué sur le marché Boursier de Paris entre 1900 et 1914</w:t>
      </w:r>
      <w:r w:rsidR="006D4472">
        <w:rPr>
          <w:rFonts w:ascii="Times New Roman" w:hAnsi="Times New Roman" w:cs="Times New Roman"/>
          <w:sz w:val="18"/>
          <w:szCs w:val="18"/>
        </w:rPr>
        <w:t xml:space="preserve">. </w:t>
      </w:r>
    </w:p>
    <w:p w14:paraId="244D72B5" w14:textId="77777777" w:rsidR="00A1302C" w:rsidRDefault="00A1302C" w:rsidP="00A1302C">
      <w:pPr>
        <w:spacing w:after="0"/>
        <w:rPr>
          <w:rFonts w:ascii="Times New Roman" w:hAnsi="Times New Roman" w:cs="Times New Roman"/>
          <w:sz w:val="18"/>
          <w:szCs w:val="18"/>
        </w:rPr>
      </w:pPr>
    </w:p>
    <w:p w14:paraId="2142FB45" w14:textId="4EDD9900" w:rsidR="00DB6752" w:rsidRDefault="006D4472" w:rsidP="00A1302C">
      <w:pPr>
        <w:spacing w:after="0"/>
        <w:rPr>
          <w:rFonts w:ascii="Times New Roman" w:hAnsi="Times New Roman" w:cs="Times New Roman"/>
          <w:sz w:val="18"/>
          <w:szCs w:val="18"/>
        </w:rPr>
      </w:pPr>
      <w:r>
        <w:rPr>
          <w:rFonts w:ascii="Times New Roman" w:hAnsi="Times New Roman" w:cs="Times New Roman"/>
          <w:sz w:val="18"/>
          <w:szCs w:val="18"/>
        </w:rPr>
        <w:t>Source : Dividendes</w:t>
      </w:r>
      <w:r w:rsidRPr="006D4472">
        <w:t xml:space="preserve"> </w:t>
      </w:r>
      <w:r w:rsidRPr="006D4472">
        <w:rPr>
          <w:rFonts w:ascii="Times New Roman" w:hAnsi="Times New Roman" w:cs="Times New Roman"/>
          <w:sz w:val="18"/>
          <w:szCs w:val="18"/>
        </w:rPr>
        <w:t>.xlsx</w:t>
      </w:r>
    </w:p>
    <w:p w14:paraId="131FB5EE" w14:textId="42931CFD" w:rsidR="00BE0BD3" w:rsidRDefault="00BE0BD3" w:rsidP="00DB6752">
      <w:pPr>
        <w:spacing w:after="0"/>
        <w:jc w:val="center"/>
        <w:rPr>
          <w:rFonts w:ascii="Times New Roman" w:hAnsi="Times New Roman" w:cs="Times New Roman"/>
          <w:sz w:val="18"/>
          <w:szCs w:val="18"/>
        </w:rPr>
      </w:pPr>
    </w:p>
    <w:p w14:paraId="20CBF239" w14:textId="4B184627" w:rsidR="00BE0BD3" w:rsidRDefault="00BE0BD3" w:rsidP="00DB6752">
      <w:pPr>
        <w:spacing w:after="0"/>
        <w:jc w:val="center"/>
        <w:rPr>
          <w:rFonts w:ascii="Times New Roman" w:hAnsi="Times New Roman" w:cs="Times New Roman"/>
          <w:sz w:val="18"/>
          <w:szCs w:val="18"/>
        </w:rPr>
      </w:pPr>
    </w:p>
    <w:p w14:paraId="7D483103" w14:textId="558D410A" w:rsidR="00BE0BD3" w:rsidRDefault="00BE0BD3" w:rsidP="00DB6752">
      <w:pPr>
        <w:spacing w:after="0"/>
        <w:jc w:val="center"/>
        <w:rPr>
          <w:rFonts w:ascii="Times New Roman" w:hAnsi="Times New Roman" w:cs="Times New Roman"/>
          <w:sz w:val="18"/>
          <w:szCs w:val="18"/>
        </w:rPr>
      </w:pPr>
    </w:p>
    <w:p w14:paraId="27050DB4" w14:textId="07EB698B" w:rsidR="00BE0BD3" w:rsidRDefault="00BE0BD3" w:rsidP="00DB6752">
      <w:pPr>
        <w:spacing w:after="0"/>
        <w:jc w:val="center"/>
        <w:rPr>
          <w:rFonts w:ascii="Times New Roman" w:hAnsi="Times New Roman" w:cs="Times New Roman"/>
          <w:sz w:val="18"/>
          <w:szCs w:val="18"/>
        </w:rPr>
      </w:pPr>
    </w:p>
    <w:p w14:paraId="6D3CA0FB" w14:textId="7DCCB49C" w:rsidR="00BE0BD3" w:rsidRDefault="00BE0BD3" w:rsidP="00BE0BD3">
      <w:pPr>
        <w:pStyle w:val="Titre1"/>
        <w:jc w:val="center"/>
      </w:pPr>
      <w:r>
        <w:t>Statistiques Stocks</w:t>
      </w:r>
    </w:p>
    <w:p w14:paraId="3139B2F8" w14:textId="77777777" w:rsidR="001768DD" w:rsidRPr="001768DD" w:rsidRDefault="001768DD" w:rsidP="001768DD"/>
    <w:tbl>
      <w:tblPr>
        <w:tblStyle w:val="TableauGrille5Fonc-Accentuation1"/>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1063"/>
        <w:gridCol w:w="1048"/>
        <w:gridCol w:w="1119"/>
        <w:gridCol w:w="1119"/>
        <w:gridCol w:w="1119"/>
        <w:gridCol w:w="1141"/>
        <w:gridCol w:w="1134"/>
      </w:tblGrid>
      <w:tr w:rsidR="000259AC" w14:paraId="351A1D9F" w14:textId="77777777" w:rsidTr="00025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Borders>
              <w:top w:val="single" w:sz="4" w:space="0" w:color="auto"/>
              <w:left w:val="single" w:sz="4" w:space="0" w:color="auto"/>
              <w:bottom w:val="single" w:sz="4" w:space="0" w:color="auto"/>
              <w:right w:val="single" w:sz="4" w:space="0" w:color="auto"/>
            </w:tcBorders>
            <w:vAlign w:val="center"/>
          </w:tcPr>
          <w:p w14:paraId="3040C8A1" w14:textId="77777777" w:rsidR="00043134" w:rsidRPr="006721EC" w:rsidRDefault="00043134" w:rsidP="00043134">
            <w:pPr>
              <w:pStyle w:val="Titre"/>
              <w:jc w:val="center"/>
              <w:rPr>
                <w:rFonts w:ascii="Times New Roman" w:hAnsi="Times New Roman" w:cs="Times New Roman"/>
                <w:b w:val="0"/>
                <w:bCs w:val="0"/>
                <w:sz w:val="22"/>
                <w:szCs w:val="22"/>
              </w:rPr>
            </w:pPr>
            <w:r w:rsidRPr="006721EC">
              <w:rPr>
                <w:rFonts w:ascii="Times New Roman" w:hAnsi="Times New Roman" w:cs="Times New Roman"/>
                <w:sz w:val="22"/>
                <w:szCs w:val="22"/>
              </w:rPr>
              <w:t>Nom de la variable</w:t>
            </w:r>
          </w:p>
        </w:tc>
        <w:tc>
          <w:tcPr>
            <w:tcW w:w="1063" w:type="dxa"/>
            <w:tcBorders>
              <w:top w:val="single" w:sz="4" w:space="0" w:color="auto"/>
              <w:left w:val="single" w:sz="4" w:space="0" w:color="auto"/>
              <w:right w:val="single" w:sz="4" w:space="0" w:color="auto"/>
            </w:tcBorders>
            <w:vAlign w:val="center"/>
          </w:tcPr>
          <w:p w14:paraId="405DA21A" w14:textId="77777777" w:rsidR="00043134" w:rsidRPr="006721EC" w:rsidRDefault="00043134" w:rsidP="00043134">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6721EC">
              <w:rPr>
                <w:rFonts w:ascii="Times New Roman" w:hAnsi="Times New Roman" w:cs="Times New Roman"/>
                <w:sz w:val="22"/>
                <w:szCs w:val="22"/>
              </w:rPr>
              <w:t>Moyenne observée</w:t>
            </w:r>
          </w:p>
        </w:tc>
        <w:tc>
          <w:tcPr>
            <w:tcW w:w="1048" w:type="dxa"/>
            <w:tcBorders>
              <w:top w:val="single" w:sz="4" w:space="0" w:color="auto"/>
              <w:left w:val="single" w:sz="4" w:space="0" w:color="auto"/>
              <w:right w:val="single" w:sz="4" w:space="0" w:color="auto"/>
            </w:tcBorders>
            <w:vAlign w:val="center"/>
          </w:tcPr>
          <w:p w14:paraId="6320A293" w14:textId="77777777" w:rsidR="00043134" w:rsidRPr="006721EC" w:rsidRDefault="00043134" w:rsidP="00043134">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6721EC">
              <w:rPr>
                <w:rFonts w:ascii="Times New Roman" w:hAnsi="Times New Roman" w:cs="Times New Roman"/>
                <w:sz w:val="22"/>
                <w:szCs w:val="22"/>
              </w:rPr>
              <w:t>1</w:t>
            </w:r>
            <w:r w:rsidRPr="006721EC">
              <w:rPr>
                <w:rFonts w:ascii="Times New Roman" w:hAnsi="Times New Roman" w:cs="Times New Roman"/>
                <w:sz w:val="22"/>
                <w:szCs w:val="22"/>
                <w:vertAlign w:val="superscript"/>
              </w:rPr>
              <w:t>er</w:t>
            </w:r>
            <w:r w:rsidRPr="006721EC">
              <w:rPr>
                <w:rFonts w:ascii="Times New Roman" w:hAnsi="Times New Roman" w:cs="Times New Roman"/>
                <w:sz w:val="22"/>
                <w:szCs w:val="22"/>
              </w:rPr>
              <w:t xml:space="preserve"> quartile</w:t>
            </w:r>
          </w:p>
        </w:tc>
        <w:tc>
          <w:tcPr>
            <w:tcW w:w="1119" w:type="dxa"/>
            <w:tcBorders>
              <w:top w:val="single" w:sz="4" w:space="0" w:color="auto"/>
              <w:left w:val="single" w:sz="4" w:space="0" w:color="auto"/>
              <w:right w:val="single" w:sz="4" w:space="0" w:color="auto"/>
            </w:tcBorders>
            <w:vAlign w:val="center"/>
          </w:tcPr>
          <w:p w14:paraId="7609C727" w14:textId="77777777" w:rsidR="00043134" w:rsidRPr="006721EC" w:rsidRDefault="00043134" w:rsidP="00043134">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6721EC">
              <w:rPr>
                <w:rFonts w:ascii="Times New Roman" w:hAnsi="Times New Roman" w:cs="Times New Roman"/>
                <w:sz w:val="22"/>
                <w:szCs w:val="22"/>
              </w:rPr>
              <w:t>Médiane</w:t>
            </w:r>
          </w:p>
        </w:tc>
        <w:tc>
          <w:tcPr>
            <w:tcW w:w="1119" w:type="dxa"/>
            <w:tcBorders>
              <w:top w:val="single" w:sz="4" w:space="0" w:color="auto"/>
              <w:left w:val="single" w:sz="4" w:space="0" w:color="auto"/>
              <w:right w:val="double" w:sz="18" w:space="0" w:color="auto"/>
            </w:tcBorders>
            <w:vAlign w:val="center"/>
          </w:tcPr>
          <w:p w14:paraId="702A16A1" w14:textId="77777777" w:rsidR="00043134" w:rsidRPr="006721EC" w:rsidRDefault="00043134" w:rsidP="00043134">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6721EC">
              <w:rPr>
                <w:rFonts w:ascii="Times New Roman" w:hAnsi="Times New Roman" w:cs="Times New Roman"/>
                <w:sz w:val="22"/>
                <w:szCs w:val="22"/>
              </w:rPr>
              <w:t>3</w:t>
            </w:r>
            <w:r w:rsidRPr="006721EC">
              <w:rPr>
                <w:rFonts w:ascii="Times New Roman" w:hAnsi="Times New Roman" w:cs="Times New Roman"/>
                <w:sz w:val="22"/>
                <w:szCs w:val="22"/>
                <w:vertAlign w:val="superscript"/>
              </w:rPr>
              <w:t>ème</w:t>
            </w:r>
            <w:r w:rsidRPr="006721EC">
              <w:rPr>
                <w:rFonts w:ascii="Times New Roman" w:hAnsi="Times New Roman" w:cs="Times New Roman"/>
                <w:sz w:val="22"/>
                <w:szCs w:val="22"/>
              </w:rPr>
              <w:t xml:space="preserve"> quartile</w:t>
            </w:r>
          </w:p>
        </w:tc>
        <w:tc>
          <w:tcPr>
            <w:tcW w:w="1119" w:type="dxa"/>
            <w:tcBorders>
              <w:top w:val="single" w:sz="4" w:space="0" w:color="auto"/>
              <w:left w:val="double" w:sz="18" w:space="0" w:color="auto"/>
              <w:right w:val="single" w:sz="4" w:space="0" w:color="auto"/>
            </w:tcBorders>
            <w:vAlign w:val="center"/>
          </w:tcPr>
          <w:p w14:paraId="19B31B3F" w14:textId="77777777" w:rsidR="00043134" w:rsidRPr="006721EC" w:rsidRDefault="00043134" w:rsidP="00043134">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6721EC">
              <w:rPr>
                <w:rFonts w:ascii="Times New Roman" w:hAnsi="Times New Roman" w:cs="Times New Roman"/>
                <w:sz w:val="22"/>
                <w:szCs w:val="22"/>
              </w:rPr>
              <w:t>Minimum</w:t>
            </w:r>
          </w:p>
        </w:tc>
        <w:tc>
          <w:tcPr>
            <w:tcW w:w="1141" w:type="dxa"/>
            <w:tcBorders>
              <w:top w:val="single" w:sz="4" w:space="0" w:color="auto"/>
              <w:left w:val="single" w:sz="4" w:space="0" w:color="auto"/>
              <w:right w:val="single" w:sz="4" w:space="0" w:color="auto"/>
            </w:tcBorders>
            <w:vAlign w:val="center"/>
          </w:tcPr>
          <w:p w14:paraId="07290400" w14:textId="77777777" w:rsidR="00043134" w:rsidRPr="006721EC" w:rsidRDefault="00043134" w:rsidP="00043134">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6721EC">
              <w:rPr>
                <w:rFonts w:ascii="Times New Roman" w:hAnsi="Times New Roman" w:cs="Times New Roman"/>
                <w:sz w:val="22"/>
                <w:szCs w:val="22"/>
              </w:rPr>
              <w:t>Maximum</w:t>
            </w:r>
          </w:p>
        </w:tc>
        <w:tc>
          <w:tcPr>
            <w:tcW w:w="1134" w:type="dxa"/>
            <w:tcBorders>
              <w:top w:val="single" w:sz="4" w:space="0" w:color="auto"/>
              <w:left w:val="single" w:sz="4" w:space="0" w:color="auto"/>
              <w:right w:val="single" w:sz="4" w:space="0" w:color="auto"/>
            </w:tcBorders>
            <w:vAlign w:val="center"/>
          </w:tcPr>
          <w:p w14:paraId="4B8B2BBF" w14:textId="77777777" w:rsidR="00043134" w:rsidRPr="006721EC" w:rsidRDefault="00043134" w:rsidP="00043134">
            <w:pPr>
              <w:pStyle w:val="Titr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Ecart-type</w:t>
            </w:r>
          </w:p>
        </w:tc>
      </w:tr>
      <w:tr w:rsidR="000259AC" w14:paraId="56AC7B5F" w14:textId="77777777" w:rsidTr="000259AC">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344" w:type="dxa"/>
            <w:tcBorders>
              <w:left w:val="single" w:sz="4" w:space="0" w:color="auto"/>
              <w:bottom w:val="single" w:sz="4" w:space="0" w:color="auto"/>
            </w:tcBorders>
            <w:vAlign w:val="center"/>
          </w:tcPr>
          <w:p w14:paraId="45EF316E" w14:textId="7F23B9BE" w:rsidR="00043134" w:rsidRPr="006721EC" w:rsidRDefault="00043134" w:rsidP="00043134">
            <w:pPr>
              <w:pStyle w:val="Titre"/>
              <w:jc w:val="center"/>
              <w:rPr>
                <w:rFonts w:ascii="Times New Roman" w:hAnsi="Times New Roman" w:cs="Times New Roman"/>
                <w:b w:val="0"/>
                <w:bCs w:val="0"/>
                <w:sz w:val="22"/>
                <w:szCs w:val="22"/>
              </w:rPr>
            </w:pPr>
            <w:r>
              <w:rPr>
                <w:rFonts w:ascii="Times New Roman" w:hAnsi="Times New Roman" w:cs="Times New Roman"/>
                <w:sz w:val="22"/>
                <w:szCs w:val="22"/>
              </w:rPr>
              <w:t>Nombre de stocks échangés</w:t>
            </w:r>
          </w:p>
        </w:tc>
        <w:tc>
          <w:tcPr>
            <w:tcW w:w="1063" w:type="dxa"/>
            <w:vAlign w:val="center"/>
          </w:tcPr>
          <w:p w14:paraId="04482C8B" w14:textId="4CDB3C72" w:rsidR="00043134" w:rsidRPr="006721EC" w:rsidRDefault="00043134"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sz w:val="22"/>
                <w:szCs w:val="22"/>
              </w:rPr>
              <w:t>828</w:t>
            </w:r>
          </w:p>
        </w:tc>
        <w:tc>
          <w:tcPr>
            <w:tcW w:w="1048" w:type="dxa"/>
            <w:vAlign w:val="center"/>
          </w:tcPr>
          <w:p w14:paraId="5FE19355" w14:textId="1B696D8D" w:rsidR="00043134" w:rsidRPr="006721EC" w:rsidRDefault="00043134"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sz w:val="22"/>
                <w:szCs w:val="22"/>
              </w:rPr>
              <w:t>287</w:t>
            </w:r>
          </w:p>
        </w:tc>
        <w:tc>
          <w:tcPr>
            <w:tcW w:w="1119" w:type="dxa"/>
            <w:vAlign w:val="center"/>
          </w:tcPr>
          <w:p w14:paraId="6BDDFE9D" w14:textId="5C3B16E6" w:rsidR="00043134" w:rsidRPr="006721EC" w:rsidRDefault="00043134"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sz w:val="22"/>
                <w:szCs w:val="22"/>
              </w:rPr>
              <w:t>669</w:t>
            </w:r>
          </w:p>
        </w:tc>
        <w:tc>
          <w:tcPr>
            <w:tcW w:w="1119" w:type="dxa"/>
            <w:tcBorders>
              <w:right w:val="double" w:sz="18" w:space="0" w:color="auto"/>
            </w:tcBorders>
            <w:vAlign w:val="center"/>
          </w:tcPr>
          <w:p w14:paraId="3E7DCBF7" w14:textId="09E409C2" w:rsidR="00043134" w:rsidRPr="006721EC" w:rsidRDefault="00043134"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sz w:val="22"/>
                <w:szCs w:val="22"/>
              </w:rPr>
              <w:t>853</w:t>
            </w:r>
          </w:p>
        </w:tc>
        <w:tc>
          <w:tcPr>
            <w:tcW w:w="1119" w:type="dxa"/>
            <w:tcBorders>
              <w:left w:val="double" w:sz="18" w:space="0" w:color="auto"/>
            </w:tcBorders>
            <w:vAlign w:val="center"/>
          </w:tcPr>
          <w:p w14:paraId="7B06912D" w14:textId="1EB4BBAE" w:rsidR="00043134" w:rsidRPr="006721EC" w:rsidRDefault="00043134"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sz w:val="22"/>
                <w:szCs w:val="22"/>
              </w:rPr>
              <w:t>153</w:t>
            </w:r>
          </w:p>
        </w:tc>
        <w:tc>
          <w:tcPr>
            <w:tcW w:w="1141" w:type="dxa"/>
            <w:vAlign w:val="center"/>
          </w:tcPr>
          <w:p w14:paraId="45FC725E" w14:textId="62BAD255" w:rsidR="00043134" w:rsidRPr="006721EC" w:rsidRDefault="00043134"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sz w:val="22"/>
                <w:szCs w:val="22"/>
              </w:rPr>
              <w:t>3506</w:t>
            </w:r>
          </w:p>
        </w:tc>
        <w:tc>
          <w:tcPr>
            <w:tcW w:w="1134" w:type="dxa"/>
            <w:vAlign w:val="center"/>
          </w:tcPr>
          <w:p w14:paraId="00BC6648" w14:textId="6B91123C" w:rsidR="00043134" w:rsidRPr="006721EC" w:rsidRDefault="00043134"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883</w:t>
            </w:r>
          </w:p>
        </w:tc>
      </w:tr>
      <w:tr w:rsidR="000259AC" w14:paraId="241122BE" w14:textId="77777777" w:rsidTr="000259AC">
        <w:trPr>
          <w:trHeight w:val="510"/>
        </w:trPr>
        <w:tc>
          <w:tcPr>
            <w:cnfStyle w:val="001000000000" w:firstRow="0" w:lastRow="0" w:firstColumn="1" w:lastColumn="0" w:oddVBand="0" w:evenVBand="0" w:oddHBand="0" w:evenHBand="0" w:firstRowFirstColumn="0" w:firstRowLastColumn="0" w:lastRowFirstColumn="0" w:lastRowLastColumn="0"/>
            <w:tcW w:w="2344" w:type="dxa"/>
            <w:tcBorders>
              <w:left w:val="single" w:sz="4" w:space="0" w:color="auto"/>
              <w:bottom w:val="single" w:sz="4" w:space="0" w:color="auto"/>
            </w:tcBorders>
            <w:vAlign w:val="center"/>
          </w:tcPr>
          <w:p w14:paraId="3205D397" w14:textId="6B10A7C1" w:rsidR="00043134" w:rsidRPr="006721EC" w:rsidRDefault="00A1302C" w:rsidP="00043134">
            <w:pPr>
              <w:pStyle w:val="Titre"/>
              <w:jc w:val="center"/>
              <w:rPr>
                <w:rFonts w:ascii="Times New Roman" w:hAnsi="Times New Roman" w:cs="Times New Roman"/>
                <w:b w:val="0"/>
                <w:bCs w:val="0"/>
                <w:sz w:val="22"/>
                <w:szCs w:val="22"/>
              </w:rPr>
            </w:pPr>
            <w:r>
              <w:rPr>
                <w:rFonts w:ascii="Times New Roman" w:hAnsi="Times New Roman" w:cs="Times New Roman"/>
                <w:sz w:val="22"/>
                <w:szCs w:val="22"/>
              </w:rPr>
              <w:t>Fréquence de ‘NO TRADE’</w:t>
            </w:r>
          </w:p>
        </w:tc>
        <w:tc>
          <w:tcPr>
            <w:tcW w:w="1063" w:type="dxa"/>
            <w:vAlign w:val="center"/>
          </w:tcPr>
          <w:p w14:paraId="24931243" w14:textId="6DBA3C17" w:rsidR="00043134" w:rsidRPr="006721EC" w:rsidRDefault="00A1302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sz w:val="22"/>
                <w:szCs w:val="22"/>
              </w:rPr>
              <w:t>5.62</w:t>
            </w:r>
          </w:p>
        </w:tc>
        <w:tc>
          <w:tcPr>
            <w:tcW w:w="1048" w:type="dxa"/>
            <w:vAlign w:val="center"/>
          </w:tcPr>
          <w:p w14:paraId="393055FA" w14:textId="17D66016" w:rsidR="00043134" w:rsidRPr="006721EC" w:rsidRDefault="00A1302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sz w:val="22"/>
                <w:szCs w:val="22"/>
              </w:rPr>
              <w:t>4.88</w:t>
            </w:r>
          </w:p>
        </w:tc>
        <w:tc>
          <w:tcPr>
            <w:tcW w:w="1119" w:type="dxa"/>
            <w:vAlign w:val="center"/>
          </w:tcPr>
          <w:p w14:paraId="0E5F3629" w14:textId="4973C343" w:rsidR="00043134" w:rsidRPr="006721EC" w:rsidRDefault="00A1302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sz w:val="22"/>
                <w:szCs w:val="22"/>
              </w:rPr>
              <w:t>6.38</w:t>
            </w:r>
          </w:p>
        </w:tc>
        <w:tc>
          <w:tcPr>
            <w:tcW w:w="1119" w:type="dxa"/>
            <w:tcBorders>
              <w:right w:val="double" w:sz="18" w:space="0" w:color="auto"/>
            </w:tcBorders>
            <w:vAlign w:val="center"/>
          </w:tcPr>
          <w:p w14:paraId="75AD6A4E" w14:textId="27FDDADC" w:rsidR="00043134" w:rsidRPr="006721EC" w:rsidRDefault="00A1302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sz w:val="22"/>
                <w:szCs w:val="22"/>
              </w:rPr>
              <w:t>7.18</w:t>
            </w:r>
          </w:p>
        </w:tc>
        <w:tc>
          <w:tcPr>
            <w:tcW w:w="1119" w:type="dxa"/>
            <w:tcBorders>
              <w:left w:val="double" w:sz="18" w:space="0" w:color="auto"/>
            </w:tcBorders>
            <w:vAlign w:val="center"/>
          </w:tcPr>
          <w:p w14:paraId="18D42102" w14:textId="78FCA21B" w:rsidR="00043134" w:rsidRPr="006721EC" w:rsidRDefault="00A1302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sz w:val="22"/>
                <w:szCs w:val="22"/>
              </w:rPr>
              <w:t>0.31</w:t>
            </w:r>
          </w:p>
        </w:tc>
        <w:tc>
          <w:tcPr>
            <w:tcW w:w="1141" w:type="dxa"/>
            <w:vAlign w:val="center"/>
          </w:tcPr>
          <w:p w14:paraId="1D030825" w14:textId="5E469EA0" w:rsidR="00043134" w:rsidRPr="006721EC" w:rsidRDefault="00A1302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Pr>
                <w:rFonts w:ascii="Times New Roman" w:hAnsi="Times New Roman" w:cs="Times New Roman"/>
                <w:sz w:val="22"/>
                <w:szCs w:val="22"/>
              </w:rPr>
              <w:t>7.89</w:t>
            </w:r>
          </w:p>
        </w:tc>
        <w:tc>
          <w:tcPr>
            <w:tcW w:w="1134" w:type="dxa"/>
            <w:vAlign w:val="center"/>
          </w:tcPr>
          <w:p w14:paraId="185C32AF" w14:textId="70F3D88B" w:rsidR="00043134" w:rsidRPr="006721EC" w:rsidRDefault="00A1302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2.04</w:t>
            </w:r>
          </w:p>
        </w:tc>
      </w:tr>
      <w:tr w:rsidR="000259AC" w14:paraId="4D9D2754" w14:textId="77777777" w:rsidTr="000259A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44" w:type="dxa"/>
            <w:tcBorders>
              <w:top w:val="double" w:sz="24" w:space="0" w:color="auto"/>
              <w:left w:val="single" w:sz="4" w:space="0" w:color="auto"/>
              <w:bottom w:val="single" w:sz="4" w:space="0" w:color="auto"/>
            </w:tcBorders>
            <w:vAlign w:val="center"/>
          </w:tcPr>
          <w:p w14:paraId="153A88D2" w14:textId="77777777" w:rsidR="000259AC" w:rsidRDefault="000259AC" w:rsidP="00043134">
            <w:pPr>
              <w:jc w:val="center"/>
              <w:rPr>
                <w:rFonts w:ascii="Times New Roman" w:hAnsi="Times New Roman" w:cs="Times New Roman"/>
              </w:rPr>
            </w:pPr>
          </w:p>
        </w:tc>
        <w:tc>
          <w:tcPr>
            <w:tcW w:w="1063" w:type="dxa"/>
            <w:tcBorders>
              <w:top w:val="double" w:sz="24" w:space="0" w:color="auto"/>
            </w:tcBorders>
            <w:vAlign w:val="center"/>
          </w:tcPr>
          <w:p w14:paraId="019F9C29" w14:textId="72275F2C" w:rsidR="000259AC" w:rsidRPr="000259AC" w:rsidRDefault="000259AC"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2"/>
                <w:szCs w:val="22"/>
              </w:rPr>
            </w:pPr>
            <w:r w:rsidRPr="000259AC">
              <w:rPr>
                <w:rFonts w:ascii="Times New Roman" w:hAnsi="Times New Roman" w:cs="Times New Roman"/>
                <w:b/>
                <w:bCs/>
                <w:color w:val="000000" w:themeColor="text1"/>
                <w:sz w:val="22"/>
                <w:szCs w:val="22"/>
              </w:rPr>
              <w:t>0 quinzaine</w:t>
            </w:r>
          </w:p>
        </w:tc>
        <w:tc>
          <w:tcPr>
            <w:tcW w:w="1048" w:type="dxa"/>
            <w:tcBorders>
              <w:top w:val="double" w:sz="24" w:space="0" w:color="auto"/>
            </w:tcBorders>
            <w:vAlign w:val="center"/>
          </w:tcPr>
          <w:p w14:paraId="63368963" w14:textId="56E378D5" w:rsidR="000259AC" w:rsidRPr="000259AC" w:rsidRDefault="000259AC"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2"/>
                <w:szCs w:val="22"/>
              </w:rPr>
            </w:pPr>
            <w:r w:rsidRPr="000259AC">
              <w:rPr>
                <w:rFonts w:ascii="Times New Roman" w:hAnsi="Times New Roman" w:cs="Times New Roman"/>
                <w:b/>
                <w:bCs/>
                <w:color w:val="000000" w:themeColor="text1"/>
                <w:sz w:val="22"/>
                <w:szCs w:val="22"/>
              </w:rPr>
              <w:t>1 quinzaine</w:t>
            </w:r>
          </w:p>
        </w:tc>
        <w:tc>
          <w:tcPr>
            <w:tcW w:w="1119" w:type="dxa"/>
            <w:tcBorders>
              <w:top w:val="double" w:sz="24" w:space="0" w:color="auto"/>
            </w:tcBorders>
            <w:vAlign w:val="center"/>
          </w:tcPr>
          <w:p w14:paraId="3E419985" w14:textId="19D515AD" w:rsidR="000259AC" w:rsidRPr="000259AC" w:rsidRDefault="000259AC"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2"/>
                <w:szCs w:val="22"/>
              </w:rPr>
            </w:pPr>
            <w:r w:rsidRPr="000259AC">
              <w:rPr>
                <w:rFonts w:ascii="Times New Roman" w:hAnsi="Times New Roman" w:cs="Times New Roman"/>
                <w:b/>
                <w:bCs/>
                <w:color w:val="000000" w:themeColor="text1"/>
                <w:sz w:val="22"/>
                <w:szCs w:val="22"/>
              </w:rPr>
              <w:t>2 quinzaines</w:t>
            </w:r>
          </w:p>
        </w:tc>
        <w:tc>
          <w:tcPr>
            <w:tcW w:w="1119" w:type="dxa"/>
            <w:tcBorders>
              <w:top w:val="double" w:sz="24" w:space="0" w:color="auto"/>
              <w:right w:val="single" w:sz="4" w:space="0" w:color="auto"/>
            </w:tcBorders>
            <w:vAlign w:val="center"/>
          </w:tcPr>
          <w:p w14:paraId="75AB6099" w14:textId="0C2F58CB" w:rsidR="000259AC" w:rsidRPr="000259AC" w:rsidRDefault="000259AC"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2"/>
                <w:szCs w:val="22"/>
              </w:rPr>
            </w:pPr>
            <w:r w:rsidRPr="000259AC">
              <w:rPr>
                <w:rFonts w:ascii="Times New Roman" w:hAnsi="Times New Roman" w:cs="Times New Roman"/>
                <w:b/>
                <w:bCs/>
                <w:color w:val="000000" w:themeColor="text1"/>
                <w:sz w:val="22"/>
                <w:szCs w:val="22"/>
              </w:rPr>
              <w:t>3 quinzaines</w:t>
            </w:r>
          </w:p>
        </w:tc>
        <w:tc>
          <w:tcPr>
            <w:tcW w:w="1119" w:type="dxa"/>
            <w:tcBorders>
              <w:top w:val="double" w:sz="24" w:space="0" w:color="auto"/>
              <w:left w:val="single" w:sz="4" w:space="0" w:color="auto"/>
            </w:tcBorders>
            <w:vAlign w:val="center"/>
          </w:tcPr>
          <w:p w14:paraId="4AA5D341" w14:textId="1D8052BC" w:rsidR="000259AC" w:rsidRPr="000259AC" w:rsidRDefault="000259AC"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2"/>
                <w:szCs w:val="22"/>
              </w:rPr>
            </w:pPr>
            <w:r w:rsidRPr="000259AC">
              <w:rPr>
                <w:rFonts w:ascii="Times New Roman" w:hAnsi="Times New Roman" w:cs="Times New Roman"/>
                <w:b/>
                <w:bCs/>
                <w:color w:val="000000" w:themeColor="text1"/>
                <w:sz w:val="22"/>
                <w:szCs w:val="22"/>
              </w:rPr>
              <w:t>4 quinzaines</w:t>
            </w:r>
          </w:p>
        </w:tc>
        <w:tc>
          <w:tcPr>
            <w:tcW w:w="1141" w:type="dxa"/>
            <w:tcBorders>
              <w:top w:val="double" w:sz="24" w:space="0" w:color="auto"/>
            </w:tcBorders>
            <w:vAlign w:val="center"/>
          </w:tcPr>
          <w:p w14:paraId="56A64040" w14:textId="2CC89635" w:rsidR="000259AC" w:rsidRPr="000259AC" w:rsidRDefault="000259AC"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2"/>
                <w:szCs w:val="22"/>
              </w:rPr>
            </w:pPr>
            <w:r w:rsidRPr="000259AC">
              <w:rPr>
                <w:rFonts w:ascii="Times New Roman" w:hAnsi="Times New Roman" w:cs="Times New Roman"/>
                <w:b/>
                <w:bCs/>
                <w:color w:val="000000" w:themeColor="text1"/>
                <w:sz w:val="22"/>
                <w:szCs w:val="22"/>
              </w:rPr>
              <w:t>Moyenne</w:t>
            </w:r>
          </w:p>
        </w:tc>
        <w:tc>
          <w:tcPr>
            <w:tcW w:w="1134" w:type="dxa"/>
            <w:tcBorders>
              <w:top w:val="double" w:sz="24" w:space="0" w:color="auto"/>
            </w:tcBorders>
            <w:vAlign w:val="center"/>
          </w:tcPr>
          <w:p w14:paraId="42FBB6B5" w14:textId="534A9143" w:rsidR="000259AC" w:rsidRPr="000259AC" w:rsidRDefault="000259AC" w:rsidP="00043134">
            <w:pPr>
              <w:pStyle w:val="Titre"/>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2"/>
                <w:szCs w:val="22"/>
              </w:rPr>
            </w:pPr>
            <w:r w:rsidRPr="000259AC">
              <w:rPr>
                <w:rFonts w:ascii="Times New Roman" w:hAnsi="Times New Roman" w:cs="Times New Roman"/>
                <w:b/>
                <w:bCs/>
                <w:color w:val="000000" w:themeColor="text1"/>
                <w:sz w:val="22"/>
                <w:szCs w:val="22"/>
              </w:rPr>
              <w:t>Ecart-type</w:t>
            </w:r>
          </w:p>
        </w:tc>
      </w:tr>
      <w:tr w:rsidR="001768DD" w14:paraId="3BFD506C" w14:textId="77777777" w:rsidTr="000259AC">
        <w:trPr>
          <w:trHeight w:val="510"/>
        </w:trPr>
        <w:tc>
          <w:tcPr>
            <w:cnfStyle w:val="001000000000" w:firstRow="0" w:lastRow="0" w:firstColumn="1" w:lastColumn="0" w:oddVBand="0" w:evenVBand="0" w:oddHBand="0" w:evenHBand="0" w:firstRowFirstColumn="0" w:firstRowLastColumn="0" w:lastRowFirstColumn="0" w:lastRowLastColumn="0"/>
            <w:tcW w:w="2344" w:type="dxa"/>
            <w:tcBorders>
              <w:top w:val="single" w:sz="4" w:space="0" w:color="auto"/>
              <w:left w:val="single" w:sz="4" w:space="0" w:color="auto"/>
              <w:bottom w:val="single" w:sz="4" w:space="0" w:color="auto"/>
            </w:tcBorders>
            <w:vAlign w:val="center"/>
          </w:tcPr>
          <w:p w14:paraId="1B6CA928" w14:textId="33D22956" w:rsidR="000259AC" w:rsidRDefault="000259AC" w:rsidP="00043134">
            <w:pPr>
              <w:jc w:val="center"/>
              <w:rPr>
                <w:rFonts w:ascii="Times New Roman" w:hAnsi="Times New Roman" w:cs="Times New Roman"/>
              </w:rPr>
            </w:pPr>
            <w:r w:rsidRPr="000259AC">
              <w:rPr>
                <w:rFonts w:ascii="Times New Roman" w:hAnsi="Times New Roman" w:cs="Times New Roman"/>
                <w:color w:val="000000" w:themeColor="text1"/>
              </w:rPr>
              <w:t>Fréquence durée maturités</w:t>
            </w:r>
          </w:p>
        </w:tc>
        <w:tc>
          <w:tcPr>
            <w:tcW w:w="1063" w:type="dxa"/>
            <w:tcBorders>
              <w:top w:val="single" w:sz="4" w:space="0" w:color="auto"/>
            </w:tcBorders>
            <w:vAlign w:val="center"/>
          </w:tcPr>
          <w:p w14:paraId="32A227B8" w14:textId="5BD00CF7" w:rsidR="000259AC" w:rsidRDefault="000259A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7.41</w:t>
            </w:r>
          </w:p>
        </w:tc>
        <w:tc>
          <w:tcPr>
            <w:tcW w:w="1048" w:type="dxa"/>
            <w:tcBorders>
              <w:top w:val="single" w:sz="4" w:space="0" w:color="auto"/>
            </w:tcBorders>
            <w:vAlign w:val="center"/>
          </w:tcPr>
          <w:p w14:paraId="11DA7C90" w14:textId="40843DFF" w:rsidR="000259AC" w:rsidRDefault="000259A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49.33</w:t>
            </w:r>
          </w:p>
        </w:tc>
        <w:tc>
          <w:tcPr>
            <w:tcW w:w="1119" w:type="dxa"/>
            <w:tcBorders>
              <w:top w:val="single" w:sz="4" w:space="0" w:color="auto"/>
            </w:tcBorders>
            <w:vAlign w:val="center"/>
          </w:tcPr>
          <w:p w14:paraId="05E95511" w14:textId="39379E54" w:rsidR="000259AC" w:rsidRDefault="000259A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29.14</w:t>
            </w:r>
          </w:p>
        </w:tc>
        <w:tc>
          <w:tcPr>
            <w:tcW w:w="1119" w:type="dxa"/>
            <w:tcBorders>
              <w:top w:val="single" w:sz="4" w:space="0" w:color="auto"/>
              <w:right w:val="single" w:sz="4" w:space="0" w:color="auto"/>
            </w:tcBorders>
            <w:vAlign w:val="center"/>
          </w:tcPr>
          <w:p w14:paraId="63711BDB" w14:textId="4BD9EEE5" w:rsidR="000259AC" w:rsidRDefault="000259A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11.31</w:t>
            </w:r>
          </w:p>
        </w:tc>
        <w:tc>
          <w:tcPr>
            <w:tcW w:w="1119" w:type="dxa"/>
            <w:tcBorders>
              <w:top w:val="single" w:sz="4" w:space="0" w:color="auto"/>
              <w:left w:val="single" w:sz="4" w:space="0" w:color="auto"/>
            </w:tcBorders>
            <w:vAlign w:val="center"/>
          </w:tcPr>
          <w:p w14:paraId="0546809F" w14:textId="088050EC" w:rsidR="000259AC" w:rsidRDefault="000259A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2.81</w:t>
            </w:r>
          </w:p>
        </w:tc>
        <w:tc>
          <w:tcPr>
            <w:tcW w:w="1141" w:type="dxa"/>
            <w:tcBorders>
              <w:top w:val="single" w:sz="4" w:space="0" w:color="auto"/>
            </w:tcBorders>
            <w:vAlign w:val="center"/>
          </w:tcPr>
          <w:p w14:paraId="7CC101FD" w14:textId="335C0342" w:rsidR="000259AC" w:rsidRDefault="000259A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20</w:t>
            </w:r>
          </w:p>
        </w:tc>
        <w:tc>
          <w:tcPr>
            <w:tcW w:w="1134" w:type="dxa"/>
            <w:tcBorders>
              <w:top w:val="single" w:sz="4" w:space="0" w:color="auto"/>
            </w:tcBorders>
            <w:vAlign w:val="center"/>
          </w:tcPr>
          <w:p w14:paraId="137649E3" w14:textId="513CE43C" w:rsidR="000259AC" w:rsidRDefault="000259AC" w:rsidP="00043134">
            <w:pPr>
              <w:pStyle w:val="Titre"/>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17</w:t>
            </w:r>
          </w:p>
        </w:tc>
      </w:tr>
    </w:tbl>
    <w:p w14:paraId="37F48BE6" w14:textId="23BC65E4" w:rsidR="000259AC" w:rsidRDefault="00043134" w:rsidP="00043134">
      <w:pPr>
        <w:rPr>
          <w:rFonts w:ascii="Times New Roman" w:hAnsi="Times New Roman" w:cs="Times New Roman"/>
          <w:sz w:val="18"/>
          <w:szCs w:val="18"/>
        </w:rPr>
      </w:pPr>
      <w:r w:rsidRPr="00043134">
        <w:rPr>
          <w:rFonts w:ascii="Times New Roman" w:hAnsi="Times New Roman" w:cs="Times New Roman"/>
          <w:b/>
          <w:bCs/>
          <w:sz w:val="18"/>
          <w:szCs w:val="18"/>
        </w:rPr>
        <w:t>Nombre de stocks échangés</w:t>
      </w:r>
      <w:r w:rsidRPr="00043134">
        <w:rPr>
          <w:rFonts w:ascii="Times New Roman" w:hAnsi="Times New Roman" w:cs="Times New Roman"/>
          <w:sz w:val="18"/>
          <w:szCs w:val="18"/>
        </w:rPr>
        <w:t xml:space="preserve"> : Nombre de fois que le stock x a été échangé à la bourse de Paris sur la période du 16 août 1898 jusqu’au 30 juin 1914. </w:t>
      </w:r>
    </w:p>
    <w:p w14:paraId="0D9D9800" w14:textId="4270A26F" w:rsidR="00D952C4" w:rsidRDefault="00D952C4" w:rsidP="00043134">
      <w:pPr>
        <w:rPr>
          <w:rFonts w:ascii="Times New Roman" w:hAnsi="Times New Roman" w:cs="Times New Roman"/>
          <w:sz w:val="18"/>
          <w:szCs w:val="18"/>
        </w:rPr>
      </w:pPr>
      <w:r w:rsidRPr="00A1302C">
        <w:rPr>
          <w:rFonts w:ascii="Times New Roman" w:hAnsi="Times New Roman" w:cs="Times New Roman"/>
          <w:b/>
          <w:bCs/>
          <w:sz w:val="18"/>
          <w:szCs w:val="18"/>
        </w:rPr>
        <w:t>Fréquence de ‘NO TRADE’</w:t>
      </w:r>
      <w:r w:rsidRPr="00A1302C">
        <w:rPr>
          <w:rFonts w:ascii="Times New Roman" w:hAnsi="Times New Roman" w:cs="Times New Roman"/>
          <w:sz w:val="18"/>
          <w:szCs w:val="18"/>
        </w:rPr>
        <w:t> : Un jour est considéré comme un ‘No trade’ lorsque le stock x n’est pas échangé durant ce jour-là. Nous ne connaissons donc pas la valeur de l’option pour la quinzaine</w:t>
      </w:r>
      <w:r>
        <w:rPr>
          <w:rFonts w:ascii="Times New Roman" w:hAnsi="Times New Roman" w:cs="Times New Roman"/>
          <w:sz w:val="18"/>
          <w:szCs w:val="18"/>
        </w:rPr>
        <w:t xml:space="preserve"> en question</w:t>
      </w:r>
      <w:r w:rsidRPr="00A1302C">
        <w:rPr>
          <w:rFonts w:ascii="Times New Roman" w:hAnsi="Times New Roman" w:cs="Times New Roman"/>
          <w:sz w:val="18"/>
          <w:szCs w:val="18"/>
        </w:rPr>
        <w:t>. Les résultats sont affichés en %</w:t>
      </w:r>
      <w:r>
        <w:rPr>
          <w:rFonts w:ascii="Times New Roman" w:hAnsi="Times New Roman" w:cs="Times New Roman"/>
          <w:sz w:val="18"/>
          <w:szCs w:val="18"/>
        </w:rPr>
        <w:t>.</w:t>
      </w:r>
    </w:p>
    <w:p w14:paraId="044E4A9D" w14:textId="7D911E6F" w:rsidR="000259AC" w:rsidRDefault="000259AC" w:rsidP="00043134">
      <w:pPr>
        <w:rPr>
          <w:rFonts w:ascii="Times New Roman" w:hAnsi="Times New Roman" w:cs="Times New Roman"/>
          <w:color w:val="000000" w:themeColor="text1"/>
          <w:sz w:val="18"/>
          <w:szCs w:val="18"/>
        </w:rPr>
      </w:pPr>
      <w:r w:rsidRPr="000259AC">
        <w:rPr>
          <w:rFonts w:ascii="Times New Roman" w:hAnsi="Times New Roman" w:cs="Times New Roman"/>
          <w:b/>
          <w:bCs/>
          <w:color w:val="000000" w:themeColor="text1"/>
          <w:sz w:val="18"/>
          <w:szCs w:val="18"/>
        </w:rPr>
        <w:t>Fréquence durée maturités</w:t>
      </w:r>
      <w:r w:rsidRPr="000259AC">
        <w:rPr>
          <w:rFonts w:ascii="Times New Roman" w:hAnsi="Times New Roman" w:cs="Times New Roman"/>
          <w:color w:val="000000" w:themeColor="text1"/>
          <w:sz w:val="18"/>
          <w:szCs w:val="18"/>
        </w:rPr>
        <w:t> : Fréquence en % des durées de vie des options en quinzaine (les options s’échangeaient tous les 15 jours)</w:t>
      </w:r>
      <w:r w:rsidR="00A1302C">
        <w:rPr>
          <w:rFonts w:ascii="Times New Roman" w:hAnsi="Times New Roman" w:cs="Times New Roman"/>
          <w:color w:val="000000" w:themeColor="text1"/>
          <w:sz w:val="18"/>
          <w:szCs w:val="18"/>
        </w:rPr>
        <w:t>.</w:t>
      </w:r>
    </w:p>
    <w:p w14:paraId="3225383E" w14:textId="3A17E6A9" w:rsidR="00043134" w:rsidRDefault="00043134" w:rsidP="00043134">
      <w:pPr>
        <w:rPr>
          <w:rFonts w:ascii="Times New Roman" w:hAnsi="Times New Roman" w:cs="Times New Roman"/>
          <w:sz w:val="18"/>
          <w:szCs w:val="18"/>
        </w:rPr>
      </w:pPr>
      <w:r w:rsidRPr="00043134">
        <w:rPr>
          <w:rFonts w:ascii="Times New Roman" w:hAnsi="Times New Roman" w:cs="Times New Roman"/>
          <w:sz w:val="18"/>
          <w:szCs w:val="18"/>
        </w:rPr>
        <w:t>Source : Stock11Bis</w:t>
      </w:r>
    </w:p>
    <w:p w14:paraId="41F8A7AD" w14:textId="7B458038" w:rsidR="00B512E9" w:rsidRDefault="00B512E9" w:rsidP="00043134">
      <w:pPr>
        <w:rPr>
          <w:rFonts w:ascii="Times New Roman" w:hAnsi="Times New Roman" w:cs="Times New Roman"/>
          <w:sz w:val="18"/>
          <w:szCs w:val="18"/>
        </w:rPr>
      </w:pPr>
    </w:p>
    <w:p w14:paraId="3454E585" w14:textId="37F5FEDA" w:rsidR="00B512E9" w:rsidRDefault="00B512E9" w:rsidP="00043134">
      <w:pPr>
        <w:rPr>
          <w:rFonts w:ascii="Times New Roman" w:hAnsi="Times New Roman" w:cs="Times New Roman"/>
          <w:sz w:val="18"/>
          <w:szCs w:val="18"/>
        </w:rPr>
      </w:pPr>
    </w:p>
    <w:p w14:paraId="733EBB5F" w14:textId="48A724F8" w:rsidR="00B512E9" w:rsidRDefault="00B512E9" w:rsidP="00043134">
      <w:pPr>
        <w:rPr>
          <w:rFonts w:ascii="Times New Roman" w:hAnsi="Times New Roman" w:cs="Times New Roman"/>
          <w:sz w:val="18"/>
          <w:szCs w:val="18"/>
        </w:rPr>
      </w:pPr>
    </w:p>
    <w:p w14:paraId="4F4228DE" w14:textId="3826A045" w:rsidR="00B512E9" w:rsidRDefault="00B512E9" w:rsidP="00043134">
      <w:pPr>
        <w:rPr>
          <w:rFonts w:ascii="Times New Roman" w:hAnsi="Times New Roman" w:cs="Times New Roman"/>
          <w:sz w:val="18"/>
          <w:szCs w:val="18"/>
        </w:rPr>
      </w:pPr>
    </w:p>
    <w:p w14:paraId="3CDF45D1" w14:textId="5C863918" w:rsidR="00B512E9" w:rsidRDefault="00B512E9" w:rsidP="00043134">
      <w:pPr>
        <w:rPr>
          <w:rFonts w:ascii="Times New Roman" w:hAnsi="Times New Roman" w:cs="Times New Roman"/>
          <w:sz w:val="18"/>
          <w:szCs w:val="18"/>
        </w:rPr>
      </w:pPr>
    </w:p>
    <w:p w14:paraId="24492337" w14:textId="24D8B220" w:rsidR="00B512E9" w:rsidRDefault="00B512E9" w:rsidP="00043134">
      <w:pPr>
        <w:rPr>
          <w:rFonts w:ascii="Times New Roman" w:hAnsi="Times New Roman" w:cs="Times New Roman"/>
          <w:sz w:val="18"/>
          <w:szCs w:val="18"/>
        </w:rPr>
      </w:pPr>
    </w:p>
    <w:p w14:paraId="2836317F" w14:textId="42158DA2" w:rsidR="00B512E9" w:rsidRDefault="00B512E9" w:rsidP="00043134">
      <w:pPr>
        <w:rPr>
          <w:rFonts w:ascii="Times New Roman" w:hAnsi="Times New Roman" w:cs="Times New Roman"/>
          <w:sz w:val="18"/>
          <w:szCs w:val="18"/>
        </w:rPr>
      </w:pPr>
    </w:p>
    <w:p w14:paraId="4FE7580B" w14:textId="79296FD1" w:rsidR="00B512E9" w:rsidRDefault="00B512E9" w:rsidP="00043134">
      <w:pPr>
        <w:rPr>
          <w:rFonts w:ascii="Times New Roman" w:hAnsi="Times New Roman" w:cs="Times New Roman"/>
          <w:sz w:val="18"/>
          <w:szCs w:val="18"/>
        </w:rPr>
      </w:pPr>
    </w:p>
    <w:p w14:paraId="45B38C40" w14:textId="14185FAD" w:rsidR="00B512E9" w:rsidRDefault="00B512E9" w:rsidP="00043134">
      <w:pPr>
        <w:rPr>
          <w:rFonts w:ascii="Times New Roman" w:hAnsi="Times New Roman" w:cs="Times New Roman"/>
          <w:sz w:val="18"/>
          <w:szCs w:val="18"/>
        </w:rPr>
      </w:pPr>
    </w:p>
    <w:p w14:paraId="061B1CF5" w14:textId="5932A3D1" w:rsidR="00B512E9" w:rsidRDefault="00B512E9" w:rsidP="00043134">
      <w:pPr>
        <w:rPr>
          <w:rFonts w:ascii="Times New Roman" w:hAnsi="Times New Roman" w:cs="Times New Roman"/>
          <w:sz w:val="18"/>
          <w:szCs w:val="18"/>
        </w:rPr>
      </w:pPr>
    </w:p>
    <w:p w14:paraId="06C36757" w14:textId="116022FD" w:rsidR="00B512E9" w:rsidRDefault="00B512E9" w:rsidP="00043134">
      <w:pPr>
        <w:rPr>
          <w:rFonts w:ascii="Times New Roman" w:hAnsi="Times New Roman" w:cs="Times New Roman"/>
          <w:sz w:val="18"/>
          <w:szCs w:val="18"/>
        </w:rPr>
      </w:pPr>
    </w:p>
    <w:p w14:paraId="302B0819" w14:textId="7DE265CB" w:rsidR="00B512E9" w:rsidRDefault="00B512E9" w:rsidP="00043134">
      <w:pPr>
        <w:rPr>
          <w:rFonts w:ascii="Times New Roman" w:hAnsi="Times New Roman" w:cs="Times New Roman"/>
          <w:sz w:val="18"/>
          <w:szCs w:val="18"/>
        </w:rPr>
      </w:pPr>
    </w:p>
    <w:p w14:paraId="71681E38" w14:textId="425C45C0" w:rsidR="00B512E9" w:rsidRDefault="00B512E9" w:rsidP="00043134">
      <w:pPr>
        <w:rPr>
          <w:rFonts w:ascii="Times New Roman" w:hAnsi="Times New Roman" w:cs="Times New Roman"/>
          <w:sz w:val="18"/>
          <w:szCs w:val="18"/>
        </w:rPr>
      </w:pPr>
    </w:p>
    <w:p w14:paraId="68ECB6E1" w14:textId="5C30D7AA" w:rsidR="00B512E9" w:rsidRDefault="00B512E9" w:rsidP="00043134">
      <w:pPr>
        <w:rPr>
          <w:rFonts w:ascii="Times New Roman" w:hAnsi="Times New Roman" w:cs="Times New Roman"/>
          <w:sz w:val="18"/>
          <w:szCs w:val="18"/>
        </w:rPr>
      </w:pPr>
    </w:p>
    <w:p w14:paraId="58CE6D3F" w14:textId="0241F796" w:rsidR="00B512E9" w:rsidRDefault="00B512E9" w:rsidP="00043134">
      <w:pPr>
        <w:rPr>
          <w:rFonts w:ascii="Times New Roman" w:hAnsi="Times New Roman" w:cs="Times New Roman"/>
          <w:sz w:val="18"/>
          <w:szCs w:val="18"/>
        </w:rPr>
      </w:pPr>
    </w:p>
    <w:p w14:paraId="37C3E5F9" w14:textId="715A48F0" w:rsidR="00B512E9" w:rsidRDefault="00B512E9" w:rsidP="00043134">
      <w:pPr>
        <w:rPr>
          <w:rFonts w:ascii="Times New Roman" w:hAnsi="Times New Roman" w:cs="Times New Roman"/>
          <w:sz w:val="18"/>
          <w:szCs w:val="18"/>
        </w:rPr>
      </w:pPr>
    </w:p>
    <w:p w14:paraId="2FAD1AF8" w14:textId="77777777" w:rsidR="00B512E9" w:rsidRDefault="00B512E9" w:rsidP="00043134">
      <w:pPr>
        <w:rPr>
          <w:rFonts w:ascii="Times New Roman" w:hAnsi="Times New Roman" w:cs="Times New Roman"/>
          <w:sz w:val="18"/>
          <w:szCs w:val="18"/>
        </w:rPr>
      </w:pPr>
    </w:p>
    <w:p w14:paraId="05A817F0" w14:textId="1CAB0511" w:rsidR="001768DD" w:rsidRDefault="001768DD" w:rsidP="00043134">
      <w:pPr>
        <w:rPr>
          <w:rFonts w:ascii="Times New Roman" w:hAnsi="Times New Roman" w:cs="Times New Roman"/>
          <w:sz w:val="18"/>
          <w:szCs w:val="18"/>
        </w:rPr>
      </w:pPr>
    </w:p>
    <w:p w14:paraId="24D79D6B" w14:textId="1FA1666D" w:rsidR="005954E6" w:rsidRDefault="00B512E9" w:rsidP="00B512E9">
      <w:pPr>
        <w:pStyle w:val="Titre1"/>
        <w:jc w:val="center"/>
      </w:pPr>
      <w:r>
        <w:lastRenderedPageBreak/>
        <w:t>Volatilités réalisées et volatilité implicite</w:t>
      </w:r>
    </w:p>
    <w:p w14:paraId="0DE32DDB" w14:textId="5F62DE42" w:rsidR="00691217" w:rsidRDefault="00691217" w:rsidP="00691217"/>
    <w:p w14:paraId="6EF5708D" w14:textId="0C1BD019" w:rsidR="00691217" w:rsidRPr="00691217" w:rsidRDefault="00691217" w:rsidP="00691217">
      <w:pPr>
        <w:pStyle w:val="Titre2"/>
      </w:pPr>
      <w:r>
        <w:t>Volatilité réalisée</w:t>
      </w:r>
    </w:p>
    <w:p w14:paraId="394F8115" w14:textId="77777777" w:rsidR="00B512E9" w:rsidRPr="00B512E9" w:rsidRDefault="00B512E9" w:rsidP="00B512E9"/>
    <w:p w14:paraId="30F0D5AA" w14:textId="22419B20" w:rsidR="00B512E9" w:rsidRDefault="00B512E9" w:rsidP="00B512E9"/>
    <w:p w14:paraId="49E8CF39" w14:textId="2A3FD5DD" w:rsidR="00B512E9" w:rsidRPr="00B512E9" w:rsidRDefault="00691217" w:rsidP="00B512E9">
      <w:r>
        <w:rPr>
          <w:noProof/>
        </w:rPr>
        <w:drawing>
          <wp:inline distT="0" distB="0" distL="0" distR="0" wp14:anchorId="6DFC5214" wp14:editId="3825DD23">
            <wp:extent cx="5760720" cy="32486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8660"/>
                    </a:xfrm>
                    <a:prstGeom prst="rect">
                      <a:avLst/>
                    </a:prstGeom>
                  </pic:spPr>
                </pic:pic>
              </a:graphicData>
            </a:graphic>
          </wp:inline>
        </w:drawing>
      </w:r>
    </w:p>
    <w:p w14:paraId="578345AF" w14:textId="1EF078A2" w:rsidR="005954E6" w:rsidRDefault="005954E6" w:rsidP="00043134">
      <w:pPr>
        <w:spacing w:after="0"/>
        <w:rPr>
          <w:rFonts w:ascii="Times New Roman" w:hAnsi="Times New Roman" w:cs="Times New Roman"/>
          <w:sz w:val="18"/>
          <w:szCs w:val="18"/>
        </w:rPr>
      </w:pPr>
      <w:r>
        <w:rPr>
          <w:rFonts w:ascii="Times New Roman" w:hAnsi="Times New Roman" w:cs="Times New Roman"/>
          <w:sz w:val="18"/>
          <w:szCs w:val="18"/>
        </w:rPr>
        <w:t xml:space="preserve">La volatilité </w:t>
      </w:r>
      <w:r w:rsidR="00B512E9">
        <w:rPr>
          <w:rFonts w:ascii="Times New Roman" w:hAnsi="Times New Roman" w:cs="Times New Roman"/>
          <w:sz w:val="18"/>
          <w:szCs w:val="18"/>
        </w:rPr>
        <w:t>réalisée glissante</w:t>
      </w:r>
      <w:r>
        <w:rPr>
          <w:rFonts w:ascii="Times New Roman" w:hAnsi="Times New Roman" w:cs="Times New Roman"/>
          <w:sz w:val="18"/>
          <w:szCs w:val="18"/>
        </w:rPr>
        <w:t xml:space="preserve"> est calculée en </w:t>
      </w:r>
      <w:r w:rsidRPr="005954E6">
        <w:rPr>
          <w:rFonts w:ascii="Times New Roman" w:hAnsi="Times New Roman" w:cs="Times New Roman"/>
          <w:sz w:val="18"/>
          <w:szCs w:val="18"/>
        </w:rPr>
        <w:t xml:space="preserve">considérant les rendements de deux ans avant et de deux ans après les dates choisies. Nous avons approximativement 24 pris spots bimensuels par an multipliés par (2 ans avant la date + 2 ans après la date) = 96 échantillons +/- 1 car nous considérons les rendements. </w:t>
      </w:r>
      <w:r w:rsidR="00B0623F">
        <w:rPr>
          <w:rFonts w:ascii="Times New Roman" w:hAnsi="Times New Roman" w:cs="Times New Roman"/>
          <w:sz w:val="18"/>
          <w:szCs w:val="18"/>
        </w:rPr>
        <w:t>Les rendements ont été calculés de manière logarithmique.</w:t>
      </w:r>
    </w:p>
    <w:p w14:paraId="0A509ED8" w14:textId="3FE7F5A5" w:rsidR="00B512E9" w:rsidRDefault="00B512E9" w:rsidP="00043134">
      <w:pPr>
        <w:spacing w:after="0"/>
        <w:rPr>
          <w:rFonts w:ascii="Times New Roman" w:hAnsi="Times New Roman" w:cs="Times New Roman"/>
          <w:sz w:val="18"/>
          <w:szCs w:val="18"/>
        </w:rPr>
      </w:pPr>
      <w:r>
        <w:rPr>
          <w:rFonts w:ascii="Times New Roman" w:hAnsi="Times New Roman" w:cs="Times New Roman"/>
          <w:sz w:val="18"/>
          <w:szCs w:val="18"/>
        </w:rPr>
        <w:t>Source : stock</w:t>
      </w:r>
    </w:p>
    <w:p w14:paraId="40C78CFD" w14:textId="77777777" w:rsidR="00691217" w:rsidRDefault="00691217" w:rsidP="00043134">
      <w:pPr>
        <w:spacing w:after="0"/>
        <w:rPr>
          <w:rFonts w:ascii="Times New Roman" w:hAnsi="Times New Roman" w:cs="Times New Roman"/>
          <w:sz w:val="18"/>
          <w:szCs w:val="18"/>
        </w:rPr>
      </w:pPr>
    </w:p>
    <w:p w14:paraId="6B9CBE4F" w14:textId="773DD22F" w:rsidR="00691217" w:rsidRDefault="00691217" w:rsidP="00043134">
      <w:pPr>
        <w:spacing w:after="0"/>
        <w:rPr>
          <w:rFonts w:ascii="Times New Roman" w:hAnsi="Times New Roman" w:cs="Times New Roman"/>
          <w:sz w:val="18"/>
          <w:szCs w:val="18"/>
        </w:rPr>
      </w:pPr>
    </w:p>
    <w:p w14:paraId="42315A1E" w14:textId="42789BC7" w:rsidR="00B512E9" w:rsidRDefault="00691217" w:rsidP="00691217">
      <w:pPr>
        <w:pStyle w:val="Titre2"/>
      </w:pPr>
      <w:r>
        <w:t xml:space="preserve">Volatilité implicite </w:t>
      </w:r>
    </w:p>
    <w:p w14:paraId="27FD0147" w14:textId="3026CE6C" w:rsidR="00691217" w:rsidRDefault="00691217" w:rsidP="00691217"/>
    <w:p w14:paraId="3C7F6DB0" w14:textId="335177DA" w:rsidR="00691217" w:rsidRDefault="00691217" w:rsidP="00691217">
      <w:pPr>
        <w:pStyle w:val="Titre3"/>
      </w:pPr>
      <w:r>
        <w:t>1 – Modèle de Black&amp;Scholes</w:t>
      </w:r>
    </w:p>
    <w:p w14:paraId="576FB17F" w14:textId="77777777" w:rsidR="00691217" w:rsidRPr="00691217" w:rsidRDefault="00691217" w:rsidP="00691217"/>
    <w:p w14:paraId="23BC3100" w14:textId="76F2DE48" w:rsidR="00691217" w:rsidRPr="00691217" w:rsidRDefault="00691217" w:rsidP="00691217">
      <w:r>
        <w:rPr>
          <w:noProof/>
        </w:rPr>
        <w:lastRenderedPageBreak/>
        <w:drawing>
          <wp:inline distT="0" distB="0" distL="0" distR="0" wp14:anchorId="5E4666D7" wp14:editId="7EC035F1">
            <wp:extent cx="5760720" cy="363283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32835"/>
                    </a:xfrm>
                    <a:prstGeom prst="rect">
                      <a:avLst/>
                    </a:prstGeom>
                  </pic:spPr>
                </pic:pic>
              </a:graphicData>
            </a:graphic>
          </wp:inline>
        </w:drawing>
      </w:r>
    </w:p>
    <w:p w14:paraId="1347545C" w14:textId="327C0326" w:rsidR="00B512E9" w:rsidRDefault="00B512E9" w:rsidP="00043134">
      <w:pPr>
        <w:spacing w:after="0"/>
        <w:rPr>
          <w:rFonts w:ascii="Times New Roman" w:hAnsi="Times New Roman" w:cs="Times New Roman"/>
          <w:sz w:val="18"/>
          <w:szCs w:val="18"/>
        </w:rPr>
      </w:pPr>
    </w:p>
    <w:p w14:paraId="5A918558" w14:textId="596368F3" w:rsidR="00B512E9" w:rsidRDefault="00691217" w:rsidP="00043134">
      <w:pPr>
        <w:spacing w:after="0"/>
        <w:rPr>
          <w:rFonts w:ascii="Times New Roman" w:hAnsi="Times New Roman" w:cs="Times New Roman"/>
          <w:sz w:val="18"/>
          <w:szCs w:val="18"/>
        </w:rPr>
      </w:pPr>
      <w:r>
        <w:rPr>
          <w:rFonts w:ascii="Times New Roman" w:hAnsi="Times New Roman" w:cs="Times New Roman"/>
          <w:sz w:val="18"/>
          <w:szCs w:val="18"/>
        </w:rPr>
        <w:t>Calculé en utilisant l’algorithme de Newton-Raphson</w:t>
      </w:r>
      <w:r w:rsidR="005773FD">
        <w:rPr>
          <w:rFonts w:ascii="Times New Roman" w:hAnsi="Times New Roman" w:cs="Times New Roman"/>
          <w:sz w:val="18"/>
          <w:szCs w:val="18"/>
        </w:rPr>
        <w:t xml:space="preserve"> pour le modèle de Black&amp;Scholes</w:t>
      </w:r>
      <w:r>
        <w:rPr>
          <w:rFonts w:ascii="Times New Roman" w:hAnsi="Times New Roman" w:cs="Times New Roman"/>
          <w:sz w:val="18"/>
          <w:szCs w:val="18"/>
        </w:rPr>
        <w:t>. Sur les 9171 prix, il en existe 609 pour lequel le modèle ne converge pas (6.64%).</w:t>
      </w:r>
    </w:p>
    <w:p w14:paraId="55BE297D" w14:textId="77777777" w:rsidR="005773FD" w:rsidRDefault="005773FD" w:rsidP="00043134">
      <w:pPr>
        <w:spacing w:after="0"/>
        <w:rPr>
          <w:rFonts w:ascii="Times New Roman" w:hAnsi="Times New Roman" w:cs="Times New Roman"/>
          <w:sz w:val="18"/>
          <w:szCs w:val="18"/>
        </w:rPr>
      </w:pPr>
    </w:p>
    <w:p w14:paraId="1EDEA329" w14:textId="5E262852" w:rsidR="00691217" w:rsidRDefault="00691217" w:rsidP="00043134">
      <w:pPr>
        <w:spacing w:after="0"/>
        <w:rPr>
          <w:rFonts w:ascii="Times New Roman" w:hAnsi="Times New Roman" w:cs="Times New Roman"/>
          <w:sz w:val="18"/>
          <w:szCs w:val="18"/>
        </w:rPr>
      </w:pPr>
    </w:p>
    <w:p w14:paraId="78E5B61D" w14:textId="0C548517" w:rsidR="00691217" w:rsidRDefault="00691217" w:rsidP="00691217">
      <w:pPr>
        <w:pStyle w:val="Titre3"/>
      </w:pPr>
      <w:r>
        <w:t>2 – Modèle de Bachelier</w:t>
      </w:r>
    </w:p>
    <w:p w14:paraId="218283DF" w14:textId="2709C48D" w:rsidR="005773FD" w:rsidRDefault="005773FD" w:rsidP="005773FD"/>
    <w:p w14:paraId="3CC61417" w14:textId="5EEF52FD" w:rsidR="005773FD" w:rsidRDefault="005773FD" w:rsidP="005773FD">
      <w:r>
        <w:rPr>
          <w:noProof/>
        </w:rPr>
        <w:drawing>
          <wp:inline distT="0" distB="0" distL="0" distR="0" wp14:anchorId="29E39E31" wp14:editId="1429D82F">
            <wp:extent cx="5760720" cy="38982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98265"/>
                    </a:xfrm>
                    <a:prstGeom prst="rect">
                      <a:avLst/>
                    </a:prstGeom>
                  </pic:spPr>
                </pic:pic>
              </a:graphicData>
            </a:graphic>
          </wp:inline>
        </w:drawing>
      </w:r>
    </w:p>
    <w:p w14:paraId="2EEAC3D3" w14:textId="0F12A57D" w:rsidR="005773FD" w:rsidRDefault="005773FD" w:rsidP="005773FD">
      <w:pPr>
        <w:spacing w:after="0"/>
        <w:rPr>
          <w:rFonts w:ascii="Times New Roman" w:hAnsi="Times New Roman" w:cs="Times New Roman"/>
          <w:sz w:val="18"/>
          <w:szCs w:val="18"/>
        </w:rPr>
      </w:pPr>
      <w:r>
        <w:rPr>
          <w:rFonts w:ascii="Times New Roman" w:hAnsi="Times New Roman" w:cs="Times New Roman"/>
          <w:sz w:val="18"/>
          <w:szCs w:val="18"/>
        </w:rPr>
        <w:lastRenderedPageBreak/>
        <w:t>Calculé en utilisant l’algorithme de Newton-Raphson</w:t>
      </w:r>
      <w:r>
        <w:rPr>
          <w:rFonts w:ascii="Times New Roman" w:hAnsi="Times New Roman" w:cs="Times New Roman"/>
          <w:sz w:val="18"/>
          <w:szCs w:val="18"/>
        </w:rPr>
        <w:t xml:space="preserve"> pour le modèle de Bachelier</w:t>
      </w:r>
      <w:r>
        <w:rPr>
          <w:rFonts w:ascii="Times New Roman" w:hAnsi="Times New Roman" w:cs="Times New Roman"/>
          <w:sz w:val="18"/>
          <w:szCs w:val="18"/>
        </w:rPr>
        <w:t xml:space="preserve">. Sur les 9171 prix, il en existe </w:t>
      </w:r>
      <w:r>
        <w:rPr>
          <w:rFonts w:ascii="Times New Roman" w:hAnsi="Times New Roman" w:cs="Times New Roman"/>
          <w:sz w:val="18"/>
          <w:szCs w:val="18"/>
        </w:rPr>
        <w:t>1509</w:t>
      </w:r>
      <w:r>
        <w:rPr>
          <w:rFonts w:ascii="Times New Roman" w:hAnsi="Times New Roman" w:cs="Times New Roman"/>
          <w:sz w:val="18"/>
          <w:szCs w:val="18"/>
        </w:rPr>
        <w:t xml:space="preserve"> pour lequel le modèle ne converge pas (</w:t>
      </w:r>
      <w:r>
        <w:rPr>
          <w:rFonts w:ascii="Times New Roman" w:hAnsi="Times New Roman" w:cs="Times New Roman"/>
          <w:sz w:val="18"/>
          <w:szCs w:val="18"/>
        </w:rPr>
        <w:t>1</w:t>
      </w:r>
      <w:r>
        <w:rPr>
          <w:rFonts w:ascii="Times New Roman" w:hAnsi="Times New Roman" w:cs="Times New Roman"/>
          <w:sz w:val="18"/>
          <w:szCs w:val="18"/>
        </w:rPr>
        <w:t>6.4</w:t>
      </w:r>
      <w:r>
        <w:rPr>
          <w:rFonts w:ascii="Times New Roman" w:hAnsi="Times New Roman" w:cs="Times New Roman"/>
          <w:sz w:val="18"/>
          <w:szCs w:val="18"/>
        </w:rPr>
        <w:t>5</w:t>
      </w:r>
      <w:r>
        <w:rPr>
          <w:rFonts w:ascii="Times New Roman" w:hAnsi="Times New Roman" w:cs="Times New Roman"/>
          <w:sz w:val="18"/>
          <w:szCs w:val="18"/>
        </w:rPr>
        <w:t>%).</w:t>
      </w:r>
    </w:p>
    <w:p w14:paraId="1E4FA9DA" w14:textId="77777777" w:rsidR="005773FD" w:rsidRPr="005773FD" w:rsidRDefault="005773FD" w:rsidP="005773FD"/>
    <w:p w14:paraId="1BD0562E" w14:textId="2286D18B" w:rsidR="00B512E9" w:rsidRDefault="00B512E9" w:rsidP="00043134">
      <w:pPr>
        <w:spacing w:after="0"/>
        <w:rPr>
          <w:rFonts w:ascii="Times New Roman" w:hAnsi="Times New Roman" w:cs="Times New Roman"/>
          <w:sz w:val="18"/>
          <w:szCs w:val="18"/>
        </w:rPr>
      </w:pPr>
    </w:p>
    <w:p w14:paraId="29218921" w14:textId="06968358" w:rsidR="00B512E9" w:rsidRDefault="00B512E9" w:rsidP="00043134">
      <w:pPr>
        <w:spacing w:after="0"/>
        <w:rPr>
          <w:rFonts w:ascii="Times New Roman" w:hAnsi="Times New Roman" w:cs="Times New Roman"/>
          <w:sz w:val="18"/>
          <w:szCs w:val="18"/>
        </w:rPr>
      </w:pPr>
    </w:p>
    <w:p w14:paraId="57397DF7" w14:textId="53A25302" w:rsidR="00B512E9" w:rsidRDefault="00B512E9" w:rsidP="00043134">
      <w:pPr>
        <w:spacing w:after="0"/>
        <w:rPr>
          <w:rFonts w:ascii="Times New Roman" w:hAnsi="Times New Roman" w:cs="Times New Roman"/>
          <w:sz w:val="18"/>
          <w:szCs w:val="18"/>
        </w:rPr>
      </w:pPr>
    </w:p>
    <w:p w14:paraId="15574B3F" w14:textId="50EE695B" w:rsidR="00B512E9" w:rsidRDefault="00B512E9" w:rsidP="00043134">
      <w:pPr>
        <w:spacing w:after="0"/>
        <w:rPr>
          <w:rFonts w:ascii="Times New Roman" w:hAnsi="Times New Roman" w:cs="Times New Roman"/>
          <w:sz w:val="18"/>
          <w:szCs w:val="18"/>
        </w:rPr>
      </w:pPr>
    </w:p>
    <w:p w14:paraId="654CAE1C" w14:textId="49C05125" w:rsidR="00B512E9" w:rsidRDefault="00B512E9" w:rsidP="00043134">
      <w:pPr>
        <w:spacing w:after="0"/>
        <w:rPr>
          <w:rFonts w:ascii="Times New Roman" w:hAnsi="Times New Roman" w:cs="Times New Roman"/>
          <w:sz w:val="18"/>
          <w:szCs w:val="18"/>
        </w:rPr>
      </w:pPr>
    </w:p>
    <w:p w14:paraId="71F5E4A3" w14:textId="01512626" w:rsidR="00B512E9" w:rsidRDefault="00B512E9" w:rsidP="00043134">
      <w:pPr>
        <w:spacing w:after="0"/>
        <w:rPr>
          <w:rFonts w:ascii="Times New Roman" w:hAnsi="Times New Roman" w:cs="Times New Roman"/>
          <w:sz w:val="18"/>
          <w:szCs w:val="18"/>
        </w:rPr>
      </w:pPr>
    </w:p>
    <w:p w14:paraId="213126B2" w14:textId="75A6388E" w:rsidR="00B512E9" w:rsidRDefault="00B512E9" w:rsidP="00043134">
      <w:pPr>
        <w:spacing w:after="0"/>
        <w:rPr>
          <w:rFonts w:ascii="Times New Roman" w:hAnsi="Times New Roman" w:cs="Times New Roman"/>
          <w:sz w:val="18"/>
          <w:szCs w:val="18"/>
        </w:rPr>
      </w:pPr>
    </w:p>
    <w:p w14:paraId="04D48647" w14:textId="68301633" w:rsidR="00B512E9" w:rsidRDefault="00B512E9" w:rsidP="00043134">
      <w:pPr>
        <w:spacing w:after="0"/>
        <w:rPr>
          <w:rFonts w:ascii="Times New Roman" w:hAnsi="Times New Roman" w:cs="Times New Roman"/>
          <w:sz w:val="18"/>
          <w:szCs w:val="18"/>
        </w:rPr>
      </w:pPr>
    </w:p>
    <w:p w14:paraId="17D09C83" w14:textId="77777777" w:rsidR="00B512E9" w:rsidRDefault="00B512E9" w:rsidP="00043134">
      <w:pPr>
        <w:spacing w:after="0"/>
        <w:rPr>
          <w:rFonts w:ascii="Times New Roman" w:hAnsi="Times New Roman" w:cs="Times New Roman"/>
          <w:sz w:val="18"/>
          <w:szCs w:val="18"/>
        </w:rPr>
      </w:pPr>
    </w:p>
    <w:p w14:paraId="76E298EC" w14:textId="6E118646" w:rsidR="005954E6" w:rsidRDefault="005954E6" w:rsidP="00043134">
      <w:pPr>
        <w:spacing w:after="0"/>
        <w:rPr>
          <w:rFonts w:ascii="Times New Roman" w:hAnsi="Times New Roman" w:cs="Times New Roman"/>
          <w:sz w:val="18"/>
          <w:szCs w:val="18"/>
        </w:rPr>
      </w:pPr>
    </w:p>
    <w:p w14:paraId="3159250A" w14:textId="43EEC2FB" w:rsidR="005954E6" w:rsidRDefault="005954E6" w:rsidP="00043134">
      <w:pPr>
        <w:spacing w:after="0"/>
        <w:rPr>
          <w:rFonts w:ascii="Times New Roman" w:hAnsi="Times New Roman" w:cs="Times New Roman"/>
          <w:sz w:val="18"/>
          <w:szCs w:val="18"/>
        </w:rPr>
      </w:pPr>
    </w:p>
    <w:p w14:paraId="39BAE290" w14:textId="51927DD0" w:rsidR="005954E6" w:rsidRDefault="005954E6" w:rsidP="00043134">
      <w:pPr>
        <w:spacing w:after="0"/>
        <w:rPr>
          <w:rFonts w:ascii="Times New Roman" w:hAnsi="Times New Roman" w:cs="Times New Roman"/>
          <w:sz w:val="18"/>
          <w:szCs w:val="18"/>
        </w:rPr>
      </w:pPr>
    </w:p>
    <w:p w14:paraId="7BF163AF" w14:textId="407EED1C" w:rsidR="005954E6" w:rsidRDefault="005954E6" w:rsidP="00043134">
      <w:pPr>
        <w:spacing w:after="0"/>
        <w:rPr>
          <w:rFonts w:ascii="Times New Roman" w:hAnsi="Times New Roman" w:cs="Times New Roman"/>
          <w:sz w:val="18"/>
          <w:szCs w:val="18"/>
        </w:rPr>
      </w:pPr>
    </w:p>
    <w:p w14:paraId="605B1307" w14:textId="20F5D4CD" w:rsidR="005954E6" w:rsidRDefault="005954E6" w:rsidP="00043134">
      <w:pPr>
        <w:spacing w:after="0"/>
        <w:rPr>
          <w:rFonts w:ascii="Times New Roman" w:hAnsi="Times New Roman" w:cs="Times New Roman"/>
          <w:sz w:val="18"/>
          <w:szCs w:val="18"/>
        </w:rPr>
      </w:pPr>
    </w:p>
    <w:p w14:paraId="11F18D79" w14:textId="7ACD1BFE" w:rsidR="005954E6" w:rsidRDefault="005954E6" w:rsidP="00043134">
      <w:pPr>
        <w:spacing w:after="0"/>
        <w:rPr>
          <w:rFonts w:ascii="Times New Roman" w:hAnsi="Times New Roman" w:cs="Times New Roman"/>
          <w:sz w:val="18"/>
          <w:szCs w:val="18"/>
        </w:rPr>
      </w:pPr>
    </w:p>
    <w:p w14:paraId="29B7D297" w14:textId="041A9EFE" w:rsidR="005954E6" w:rsidRPr="005954E6" w:rsidRDefault="005954E6" w:rsidP="005954E6">
      <w:pPr>
        <w:pStyle w:val="Titre1"/>
        <w:jc w:val="center"/>
        <w:rPr>
          <w:rFonts w:ascii="Times New Roman" w:hAnsi="Times New Roman" w:cs="Times New Roman"/>
        </w:rPr>
      </w:pPr>
      <w:r w:rsidRPr="005954E6">
        <w:rPr>
          <w:rFonts w:ascii="Times New Roman" w:hAnsi="Times New Roman" w:cs="Times New Roman"/>
        </w:rPr>
        <w:t>Compte rendu, précédentes études</w:t>
      </w:r>
    </w:p>
    <w:p w14:paraId="2D6A2075" w14:textId="5B6BEE8F" w:rsidR="005954E6" w:rsidRDefault="005954E6" w:rsidP="00043134">
      <w:pPr>
        <w:spacing w:after="0"/>
        <w:rPr>
          <w:rFonts w:ascii="Times New Roman" w:hAnsi="Times New Roman" w:cs="Times New Roman"/>
          <w:sz w:val="18"/>
          <w:szCs w:val="18"/>
        </w:rPr>
      </w:pPr>
    </w:p>
    <w:tbl>
      <w:tblPr>
        <w:tblStyle w:val="Grilledutableau"/>
        <w:tblpPr w:leftFromText="141" w:rightFromText="141" w:vertAnchor="text" w:horzAnchor="margin" w:tblpY="88"/>
        <w:tblW w:w="9299" w:type="dxa"/>
        <w:tblLook w:val="04A0" w:firstRow="1" w:lastRow="0" w:firstColumn="1" w:lastColumn="0" w:noHBand="0" w:noVBand="1"/>
      </w:tblPr>
      <w:tblGrid>
        <w:gridCol w:w="1462"/>
        <w:gridCol w:w="889"/>
        <w:gridCol w:w="1402"/>
        <w:gridCol w:w="1134"/>
        <w:gridCol w:w="2049"/>
        <w:gridCol w:w="1230"/>
        <w:gridCol w:w="1133"/>
      </w:tblGrid>
      <w:tr w:rsidR="005954E6" w:rsidRPr="003224A9" w14:paraId="66D05662" w14:textId="77777777" w:rsidTr="00941612">
        <w:trPr>
          <w:trHeight w:val="3682"/>
        </w:trPr>
        <w:tc>
          <w:tcPr>
            <w:tcW w:w="1462" w:type="dxa"/>
          </w:tcPr>
          <w:p w14:paraId="1A6828D6" w14:textId="77777777" w:rsidR="005954E6" w:rsidRPr="003224A9" w:rsidRDefault="005954E6" w:rsidP="00941612">
            <w:pPr>
              <w:rPr>
                <w:rFonts w:ascii="Times New Roman" w:hAnsi="Times New Roman" w:cs="Times New Roman"/>
                <w:lang w:val="en-US"/>
              </w:rPr>
            </w:pPr>
            <w:r w:rsidRPr="003224A9">
              <w:rPr>
                <w:lang w:val="en-US"/>
              </w:rPr>
              <w:t>Chambers, D., &amp; Saleuddin, R. (2020). Commodity option pricing efficiency before Black, Scholes, and Merton.</w:t>
            </w:r>
          </w:p>
        </w:tc>
        <w:tc>
          <w:tcPr>
            <w:tcW w:w="889" w:type="dxa"/>
          </w:tcPr>
          <w:p w14:paraId="28F351CA"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1921 - 1931</w:t>
            </w:r>
          </w:p>
        </w:tc>
        <w:tc>
          <w:tcPr>
            <w:tcW w:w="1402" w:type="dxa"/>
          </w:tcPr>
          <w:p w14:paraId="19958721"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Commodities</w:t>
            </w:r>
          </w:p>
        </w:tc>
        <w:tc>
          <w:tcPr>
            <w:tcW w:w="1134" w:type="dxa"/>
          </w:tcPr>
          <w:p w14:paraId="186DC12D"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135 option trades (40 copper + 95 tin)</w:t>
            </w:r>
          </w:p>
        </w:tc>
        <w:tc>
          <w:tcPr>
            <w:tcW w:w="2049" w:type="dxa"/>
          </w:tcPr>
          <w:p w14:paraId="45989A10" w14:textId="77777777" w:rsidR="005954E6" w:rsidRDefault="005954E6" w:rsidP="00941612">
            <w:pPr>
              <w:pStyle w:val="Paragraphedeliste"/>
              <w:numPr>
                <w:ilvl w:val="0"/>
                <w:numId w:val="2"/>
              </w:numPr>
              <w:rPr>
                <w:rFonts w:ascii="Times New Roman" w:hAnsi="Times New Roman" w:cs="Times New Roman"/>
                <w:lang w:val="en-US"/>
              </w:rPr>
            </w:pPr>
            <w:r w:rsidRPr="00967383">
              <w:rPr>
                <w:rFonts w:ascii="Times New Roman" w:hAnsi="Times New Roman" w:cs="Times New Roman"/>
                <w:lang w:val="en-US"/>
              </w:rPr>
              <w:t>perfect foresight measure</w:t>
            </w:r>
            <w:r>
              <w:rPr>
                <w:rFonts w:ascii="Times New Roman" w:hAnsi="Times New Roman" w:cs="Times New Roman"/>
                <w:lang w:val="en-US"/>
              </w:rPr>
              <w:t xml:space="preserve">: </w:t>
            </w:r>
            <w:r w:rsidRPr="00967383">
              <w:rPr>
                <w:rFonts w:ascii="Times New Roman" w:hAnsi="Times New Roman" w:cs="Times New Roman"/>
                <w:lang w:val="en-US"/>
              </w:rPr>
              <w:t>the actual realized (ex post) annualized standard deviation of equity returns over the life of the warrant</w:t>
            </w:r>
            <w:r>
              <w:rPr>
                <w:rFonts w:ascii="Times New Roman" w:hAnsi="Times New Roman" w:cs="Times New Roman"/>
                <w:lang w:val="en-US"/>
              </w:rPr>
              <w:t>.</w:t>
            </w:r>
          </w:p>
          <w:p w14:paraId="0A5B32EE" w14:textId="77777777" w:rsidR="005954E6" w:rsidRDefault="005954E6" w:rsidP="00941612">
            <w:pPr>
              <w:pStyle w:val="Paragraphedeliste"/>
              <w:numPr>
                <w:ilvl w:val="0"/>
                <w:numId w:val="2"/>
              </w:numPr>
              <w:rPr>
                <w:rFonts w:ascii="Times New Roman" w:hAnsi="Times New Roman" w:cs="Times New Roman"/>
                <w:lang w:val="en-US"/>
              </w:rPr>
            </w:pPr>
            <w:r w:rsidRPr="00967383">
              <w:rPr>
                <w:rFonts w:ascii="Times New Roman" w:hAnsi="Times New Roman" w:cs="Times New Roman"/>
                <w:lang w:val="en-US"/>
              </w:rPr>
              <w:t>90-day backward-looking measure</w:t>
            </w:r>
            <w:r>
              <w:rPr>
                <w:rFonts w:ascii="Times New Roman" w:hAnsi="Times New Roman" w:cs="Times New Roman"/>
                <w:lang w:val="en-US"/>
              </w:rPr>
              <w:t xml:space="preserve">: </w:t>
            </w:r>
            <w:r w:rsidRPr="00967383">
              <w:rPr>
                <w:rFonts w:ascii="Times New Roman" w:hAnsi="Times New Roman" w:cs="Times New Roman"/>
                <w:lang w:val="en-US"/>
              </w:rPr>
              <w:t>beginning when we have at least 10 observations of daily equity returns.</w:t>
            </w:r>
          </w:p>
          <w:p w14:paraId="67BD8324" w14:textId="77777777" w:rsidR="005954E6" w:rsidRPr="00967383" w:rsidRDefault="005954E6" w:rsidP="00941612">
            <w:pPr>
              <w:rPr>
                <w:rFonts w:ascii="Times New Roman" w:hAnsi="Times New Roman" w:cs="Times New Roman"/>
                <w:lang w:val="en-US"/>
              </w:rPr>
            </w:pPr>
          </w:p>
        </w:tc>
        <w:tc>
          <w:tcPr>
            <w:tcW w:w="1230" w:type="dxa"/>
          </w:tcPr>
          <w:p w14:paraId="6C5CDC22" w14:textId="77777777" w:rsidR="005954E6" w:rsidRPr="003224A9" w:rsidRDefault="005954E6" w:rsidP="00941612">
            <w:pPr>
              <w:rPr>
                <w:rFonts w:ascii="Times New Roman" w:hAnsi="Times New Roman" w:cs="Times New Roman"/>
                <w:lang w:val="en-US"/>
              </w:rPr>
            </w:pPr>
            <w:r>
              <w:t>No.</w:t>
            </w:r>
          </w:p>
        </w:tc>
        <w:tc>
          <w:tcPr>
            <w:tcW w:w="1133" w:type="dxa"/>
          </w:tcPr>
          <w:p w14:paraId="4175FF4F" w14:textId="77777777" w:rsidR="005954E6" w:rsidRPr="003224A9" w:rsidRDefault="005954E6" w:rsidP="00941612">
            <w:pPr>
              <w:rPr>
                <w:rFonts w:ascii="Times New Roman" w:hAnsi="Times New Roman" w:cs="Times New Roman"/>
                <w:lang w:val="en-US"/>
              </w:rPr>
            </w:pPr>
          </w:p>
        </w:tc>
      </w:tr>
      <w:tr w:rsidR="005954E6" w:rsidRPr="003224A9" w14:paraId="3C4FDA88" w14:textId="77777777" w:rsidTr="00941612">
        <w:trPr>
          <w:trHeight w:val="1927"/>
        </w:trPr>
        <w:tc>
          <w:tcPr>
            <w:tcW w:w="1462" w:type="dxa"/>
          </w:tcPr>
          <w:p w14:paraId="618EE1E3" w14:textId="77777777" w:rsidR="005954E6" w:rsidRPr="003224A9" w:rsidRDefault="005954E6" w:rsidP="00941612">
            <w:pPr>
              <w:rPr>
                <w:rFonts w:ascii="Times New Roman" w:hAnsi="Times New Roman" w:cs="Times New Roman"/>
                <w:lang w:val="en-US"/>
              </w:rPr>
            </w:pPr>
            <w:r w:rsidRPr="003224A9">
              <w:rPr>
                <w:lang w:val="en-US"/>
              </w:rPr>
              <w:t xml:space="preserve">Moore, L., &amp; Juh, S. Derivative pricing 60 years before Black– Scholes: evidence </w:t>
            </w:r>
            <w:r w:rsidRPr="003224A9">
              <w:rPr>
                <w:lang w:val="en-US"/>
              </w:rPr>
              <w:lastRenderedPageBreak/>
              <w:t>from the Johannesburg Stock Exchange</w:t>
            </w:r>
            <w:r>
              <w:rPr>
                <w:lang w:val="en-US"/>
              </w:rPr>
              <w:t xml:space="preserve"> (Warrants)</w:t>
            </w:r>
          </w:p>
        </w:tc>
        <w:tc>
          <w:tcPr>
            <w:tcW w:w="889" w:type="dxa"/>
          </w:tcPr>
          <w:p w14:paraId="417CBE12"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lastRenderedPageBreak/>
              <w:t>1909 - 1922</w:t>
            </w:r>
          </w:p>
        </w:tc>
        <w:tc>
          <w:tcPr>
            <w:tcW w:w="1402" w:type="dxa"/>
          </w:tcPr>
          <w:p w14:paraId="69949500"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Warrants</w:t>
            </w:r>
          </w:p>
        </w:tc>
        <w:tc>
          <w:tcPr>
            <w:tcW w:w="1134" w:type="dxa"/>
          </w:tcPr>
          <w:p w14:paraId="04250063"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 xml:space="preserve">15 warrants </w:t>
            </w:r>
          </w:p>
        </w:tc>
        <w:tc>
          <w:tcPr>
            <w:tcW w:w="2049" w:type="dxa"/>
          </w:tcPr>
          <w:p w14:paraId="1A8C9236" w14:textId="21D6F278" w:rsidR="005954E6" w:rsidRPr="003224A9" w:rsidRDefault="000C1613" w:rsidP="00941612">
            <w:pPr>
              <w:rPr>
                <w:rFonts w:ascii="Times New Roman" w:hAnsi="Times New Roman" w:cs="Times New Roman"/>
                <w:lang w:val="en-US"/>
              </w:rPr>
            </w:pPr>
            <w:r>
              <w:rPr>
                <w:rFonts w:ascii="Times New Roman" w:hAnsi="Times New Roman" w:cs="Times New Roman"/>
                <w:lang w:val="en-US"/>
              </w:rPr>
              <w:t>No</w:t>
            </w:r>
          </w:p>
        </w:tc>
        <w:tc>
          <w:tcPr>
            <w:tcW w:w="1230" w:type="dxa"/>
          </w:tcPr>
          <w:p w14:paraId="1DD1D698"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Yes</w:t>
            </w:r>
          </w:p>
        </w:tc>
        <w:tc>
          <w:tcPr>
            <w:tcW w:w="1133" w:type="dxa"/>
          </w:tcPr>
          <w:p w14:paraId="162248CF" w14:textId="77777777" w:rsidR="005954E6" w:rsidRPr="003224A9" w:rsidRDefault="005954E6" w:rsidP="00941612">
            <w:pPr>
              <w:rPr>
                <w:rFonts w:ascii="Times New Roman" w:hAnsi="Times New Roman" w:cs="Times New Roman"/>
                <w:lang w:val="en-US"/>
              </w:rPr>
            </w:pPr>
          </w:p>
        </w:tc>
      </w:tr>
      <w:tr w:rsidR="005954E6" w:rsidRPr="000C1613" w14:paraId="033C6DCF" w14:textId="77777777" w:rsidTr="00941612">
        <w:trPr>
          <w:trHeight w:val="2484"/>
        </w:trPr>
        <w:tc>
          <w:tcPr>
            <w:tcW w:w="1462" w:type="dxa"/>
          </w:tcPr>
          <w:p w14:paraId="5E7F691F" w14:textId="77777777" w:rsidR="005954E6" w:rsidRPr="003224A9" w:rsidRDefault="005954E6" w:rsidP="00941612">
            <w:pPr>
              <w:rPr>
                <w:lang w:val="en-US"/>
              </w:rPr>
            </w:pPr>
            <w:r w:rsidRPr="003224A9">
              <w:rPr>
                <w:lang w:val="en-US"/>
              </w:rPr>
              <w:t>Moore, L., &amp; Juh, S. Derivative pricing 60 years before Black– Scholes: evidence from the Johannesburg Stock Exchange</w:t>
            </w:r>
            <w:r>
              <w:rPr>
                <w:lang w:val="en-US"/>
              </w:rPr>
              <w:t xml:space="preserve"> (Call)</w:t>
            </w:r>
          </w:p>
        </w:tc>
        <w:tc>
          <w:tcPr>
            <w:tcW w:w="889" w:type="dxa"/>
          </w:tcPr>
          <w:p w14:paraId="58F0C2AC"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1908 - 1911</w:t>
            </w:r>
          </w:p>
        </w:tc>
        <w:tc>
          <w:tcPr>
            <w:tcW w:w="1402" w:type="dxa"/>
          </w:tcPr>
          <w:p w14:paraId="2769165B"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Calls</w:t>
            </w:r>
          </w:p>
        </w:tc>
        <w:tc>
          <w:tcPr>
            <w:tcW w:w="1134" w:type="dxa"/>
          </w:tcPr>
          <w:p w14:paraId="058B5AAF"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10 Calls</w:t>
            </w:r>
          </w:p>
        </w:tc>
        <w:tc>
          <w:tcPr>
            <w:tcW w:w="2049" w:type="dxa"/>
          </w:tcPr>
          <w:p w14:paraId="4E2292D6" w14:textId="55188824" w:rsidR="005954E6" w:rsidRPr="003224A9" w:rsidRDefault="000C1613" w:rsidP="00941612">
            <w:pPr>
              <w:rPr>
                <w:rFonts w:ascii="Times New Roman" w:hAnsi="Times New Roman" w:cs="Times New Roman"/>
                <w:lang w:val="en-US"/>
              </w:rPr>
            </w:pPr>
            <w:r>
              <w:rPr>
                <w:rFonts w:ascii="Times New Roman" w:hAnsi="Times New Roman" w:cs="Times New Roman"/>
                <w:lang w:val="en-US"/>
              </w:rPr>
              <w:t>No</w:t>
            </w:r>
          </w:p>
        </w:tc>
        <w:tc>
          <w:tcPr>
            <w:tcW w:w="1230" w:type="dxa"/>
          </w:tcPr>
          <w:p w14:paraId="1F67FC7A" w14:textId="77777777" w:rsidR="005954E6" w:rsidRPr="003224A9" w:rsidRDefault="005954E6" w:rsidP="00941612">
            <w:pPr>
              <w:rPr>
                <w:rFonts w:ascii="Times New Roman" w:hAnsi="Times New Roman" w:cs="Times New Roman"/>
                <w:lang w:val="en-US"/>
              </w:rPr>
            </w:pPr>
            <w:r w:rsidRPr="003224A9">
              <w:rPr>
                <w:lang w:val="en-US"/>
              </w:rPr>
              <w:t>There was only one stock that paid dividends in their sample, Geduld Proprietary</w:t>
            </w:r>
          </w:p>
        </w:tc>
        <w:tc>
          <w:tcPr>
            <w:tcW w:w="1133" w:type="dxa"/>
          </w:tcPr>
          <w:p w14:paraId="734D9AE6" w14:textId="77777777" w:rsidR="005954E6" w:rsidRPr="003224A9" w:rsidRDefault="005954E6" w:rsidP="00941612">
            <w:pPr>
              <w:rPr>
                <w:rFonts w:ascii="Times New Roman" w:hAnsi="Times New Roman" w:cs="Times New Roman"/>
                <w:lang w:val="en-US"/>
              </w:rPr>
            </w:pPr>
          </w:p>
        </w:tc>
      </w:tr>
      <w:tr w:rsidR="005954E6" w:rsidRPr="003224A9" w14:paraId="048F58A9" w14:textId="77777777" w:rsidTr="00941612">
        <w:trPr>
          <w:trHeight w:val="1384"/>
        </w:trPr>
        <w:tc>
          <w:tcPr>
            <w:tcW w:w="1462" w:type="dxa"/>
          </w:tcPr>
          <w:p w14:paraId="404D423D" w14:textId="77777777" w:rsidR="005954E6" w:rsidRPr="003224A9" w:rsidRDefault="005954E6" w:rsidP="00941612">
            <w:pPr>
              <w:rPr>
                <w:rFonts w:ascii="Times New Roman" w:hAnsi="Times New Roman" w:cs="Times New Roman"/>
                <w:lang w:val="en-US"/>
              </w:rPr>
            </w:pPr>
            <w:r w:rsidRPr="003224A9">
              <w:rPr>
                <w:lang w:val="en-US"/>
              </w:rPr>
              <w:t>Joseph P. Kairys Jr. and Nicholas Valerio II I. The Market for Equity Options in the 1870 s</w:t>
            </w:r>
          </w:p>
        </w:tc>
        <w:tc>
          <w:tcPr>
            <w:tcW w:w="889" w:type="dxa"/>
          </w:tcPr>
          <w:p w14:paraId="6EF30629"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1873 - 1875</w:t>
            </w:r>
          </w:p>
        </w:tc>
        <w:tc>
          <w:tcPr>
            <w:tcW w:w="1402" w:type="dxa"/>
          </w:tcPr>
          <w:p w14:paraId="7C40483B"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American options (calls + puts)</w:t>
            </w:r>
          </w:p>
        </w:tc>
        <w:tc>
          <w:tcPr>
            <w:tcW w:w="1134" w:type="dxa"/>
          </w:tcPr>
          <w:p w14:paraId="491FEAA8"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12 stocks</w:t>
            </w:r>
          </w:p>
        </w:tc>
        <w:tc>
          <w:tcPr>
            <w:tcW w:w="2049" w:type="dxa"/>
          </w:tcPr>
          <w:p w14:paraId="687A062C" w14:textId="52151AB6" w:rsidR="005954E6" w:rsidRPr="003224A9" w:rsidRDefault="000C1613" w:rsidP="00941612">
            <w:pPr>
              <w:rPr>
                <w:rFonts w:ascii="Times New Roman" w:hAnsi="Times New Roman" w:cs="Times New Roman"/>
                <w:lang w:val="en-US"/>
              </w:rPr>
            </w:pPr>
            <w:r>
              <w:rPr>
                <w:rFonts w:ascii="Times New Roman" w:hAnsi="Times New Roman" w:cs="Times New Roman"/>
                <w:lang w:val="en-US"/>
              </w:rPr>
              <w:t>Implied and realized volatility</w:t>
            </w:r>
          </w:p>
        </w:tc>
        <w:tc>
          <w:tcPr>
            <w:tcW w:w="1230" w:type="dxa"/>
          </w:tcPr>
          <w:p w14:paraId="2C4BA957" w14:textId="77777777" w:rsidR="005954E6" w:rsidRPr="003224A9" w:rsidRDefault="005954E6" w:rsidP="00941612">
            <w:pPr>
              <w:rPr>
                <w:rFonts w:ascii="Times New Roman" w:hAnsi="Times New Roman" w:cs="Times New Roman"/>
                <w:lang w:val="en-US"/>
              </w:rPr>
            </w:pPr>
            <w:r>
              <w:t>No</w:t>
            </w:r>
          </w:p>
        </w:tc>
        <w:tc>
          <w:tcPr>
            <w:tcW w:w="1133" w:type="dxa"/>
          </w:tcPr>
          <w:p w14:paraId="6DAC42E6" w14:textId="77777777" w:rsidR="005954E6" w:rsidRPr="003224A9" w:rsidRDefault="005954E6" w:rsidP="00941612">
            <w:pPr>
              <w:rPr>
                <w:rFonts w:ascii="Times New Roman" w:hAnsi="Times New Roman" w:cs="Times New Roman"/>
                <w:lang w:val="en-US"/>
              </w:rPr>
            </w:pPr>
          </w:p>
        </w:tc>
      </w:tr>
      <w:tr w:rsidR="005954E6" w:rsidRPr="003224A9" w14:paraId="7D1E4928" w14:textId="77777777" w:rsidTr="00941612">
        <w:trPr>
          <w:trHeight w:val="1099"/>
        </w:trPr>
        <w:tc>
          <w:tcPr>
            <w:tcW w:w="1462" w:type="dxa"/>
          </w:tcPr>
          <w:p w14:paraId="0A48FC7A" w14:textId="77777777" w:rsidR="005954E6" w:rsidRPr="003224A9" w:rsidRDefault="005954E6" w:rsidP="00941612">
            <w:pPr>
              <w:rPr>
                <w:rFonts w:ascii="Times New Roman" w:hAnsi="Times New Roman" w:cs="Times New Roman"/>
                <w:lang w:val="en-US"/>
              </w:rPr>
            </w:pPr>
            <w:r w:rsidRPr="003224A9">
              <w:rPr>
                <w:lang w:val="en-US"/>
              </w:rPr>
              <w:t>Mixon. Option markets and implied volatility: Past versus present</w:t>
            </w:r>
          </w:p>
        </w:tc>
        <w:tc>
          <w:tcPr>
            <w:tcW w:w="889" w:type="dxa"/>
          </w:tcPr>
          <w:p w14:paraId="2D0A86D3"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1873 - 1875</w:t>
            </w:r>
          </w:p>
        </w:tc>
        <w:tc>
          <w:tcPr>
            <w:tcW w:w="1402" w:type="dxa"/>
          </w:tcPr>
          <w:p w14:paraId="07E31077"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American options (calls + puts)</w:t>
            </w:r>
          </w:p>
        </w:tc>
        <w:tc>
          <w:tcPr>
            <w:tcW w:w="1134" w:type="dxa"/>
          </w:tcPr>
          <w:p w14:paraId="2CFB6778"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17 stocks</w:t>
            </w:r>
          </w:p>
        </w:tc>
        <w:tc>
          <w:tcPr>
            <w:tcW w:w="2049" w:type="dxa"/>
          </w:tcPr>
          <w:p w14:paraId="43BD2FF3" w14:textId="526D6340" w:rsidR="005954E6" w:rsidRPr="003224A9" w:rsidRDefault="000C1613" w:rsidP="00941612">
            <w:pPr>
              <w:rPr>
                <w:rFonts w:ascii="Times New Roman" w:hAnsi="Times New Roman" w:cs="Times New Roman"/>
                <w:lang w:val="en-US"/>
              </w:rPr>
            </w:pPr>
            <w:r>
              <w:rPr>
                <w:rFonts w:ascii="Times New Roman" w:hAnsi="Times New Roman" w:cs="Times New Roman"/>
                <w:lang w:val="en-US"/>
              </w:rPr>
              <w:t>Implied and realized volatility</w:t>
            </w:r>
          </w:p>
        </w:tc>
        <w:tc>
          <w:tcPr>
            <w:tcW w:w="1230" w:type="dxa"/>
          </w:tcPr>
          <w:p w14:paraId="4BE55073" w14:textId="77777777" w:rsidR="005954E6" w:rsidRPr="003224A9" w:rsidRDefault="005954E6" w:rsidP="00941612">
            <w:pPr>
              <w:rPr>
                <w:rFonts w:ascii="Times New Roman" w:hAnsi="Times New Roman" w:cs="Times New Roman"/>
                <w:lang w:val="en-US"/>
              </w:rPr>
            </w:pPr>
            <w:r>
              <w:rPr>
                <w:rFonts w:ascii="Times New Roman" w:hAnsi="Times New Roman" w:cs="Times New Roman"/>
                <w:lang w:val="en-US"/>
              </w:rPr>
              <w:t>Yes</w:t>
            </w:r>
          </w:p>
        </w:tc>
        <w:tc>
          <w:tcPr>
            <w:tcW w:w="1133" w:type="dxa"/>
          </w:tcPr>
          <w:p w14:paraId="374C1715" w14:textId="77777777" w:rsidR="005954E6" w:rsidRPr="003224A9" w:rsidRDefault="005954E6" w:rsidP="00941612">
            <w:pPr>
              <w:rPr>
                <w:rFonts w:ascii="Times New Roman" w:hAnsi="Times New Roman" w:cs="Times New Roman"/>
                <w:lang w:val="en-US"/>
              </w:rPr>
            </w:pPr>
          </w:p>
        </w:tc>
      </w:tr>
    </w:tbl>
    <w:p w14:paraId="56ABDDC8" w14:textId="122C6DB1" w:rsidR="005954E6" w:rsidRDefault="005954E6" w:rsidP="00043134">
      <w:pPr>
        <w:spacing w:after="0"/>
        <w:rPr>
          <w:rFonts w:ascii="Times New Roman" w:hAnsi="Times New Roman" w:cs="Times New Roman"/>
          <w:sz w:val="18"/>
          <w:szCs w:val="18"/>
        </w:rPr>
      </w:pPr>
    </w:p>
    <w:p w14:paraId="4D78C92F" w14:textId="2DCAFE85" w:rsidR="00EE2068" w:rsidRDefault="00EE2068" w:rsidP="00043134">
      <w:pPr>
        <w:spacing w:after="0"/>
        <w:rPr>
          <w:rFonts w:ascii="Times New Roman" w:hAnsi="Times New Roman" w:cs="Times New Roman"/>
          <w:sz w:val="18"/>
          <w:szCs w:val="18"/>
        </w:rPr>
      </w:pPr>
    </w:p>
    <w:p w14:paraId="5F93041D" w14:textId="2611B789" w:rsidR="00EE2068" w:rsidRDefault="00EE2068" w:rsidP="00043134">
      <w:pPr>
        <w:spacing w:after="0"/>
        <w:rPr>
          <w:rFonts w:ascii="Times New Roman" w:hAnsi="Times New Roman" w:cs="Times New Roman"/>
          <w:sz w:val="18"/>
          <w:szCs w:val="18"/>
        </w:rPr>
      </w:pPr>
    </w:p>
    <w:p w14:paraId="10BAC4EF" w14:textId="56D19EDF" w:rsidR="00EE2068" w:rsidRDefault="00EE2068" w:rsidP="00EE2068">
      <w:pPr>
        <w:pStyle w:val="Titre1"/>
      </w:pPr>
      <w:r>
        <w:t>Volatilités réalisées</w:t>
      </w:r>
      <w:r>
        <w:t xml:space="preserve"> glissante des 11 stocks (fenêtre 2 ans):</w:t>
      </w:r>
    </w:p>
    <w:p w14:paraId="42C8A62B" w14:textId="269B96FD" w:rsidR="00EE2068" w:rsidRDefault="00EE2068" w:rsidP="00EE2068"/>
    <w:p w14:paraId="39FC39CF" w14:textId="1C428222" w:rsidR="00EE2068" w:rsidRDefault="00EE2068" w:rsidP="00EE2068"/>
    <w:p w14:paraId="3E871437" w14:textId="63DC5BAC" w:rsidR="00EE2068" w:rsidRDefault="00EE2068" w:rsidP="00EE2068">
      <w:r>
        <w:rPr>
          <w:noProof/>
        </w:rPr>
        <w:lastRenderedPageBreak/>
        <w:drawing>
          <wp:inline distT="0" distB="0" distL="0" distR="0" wp14:anchorId="0E5672C5" wp14:editId="37D0E48A">
            <wp:extent cx="5760720" cy="3252470"/>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52470"/>
                    </a:xfrm>
                    <a:prstGeom prst="rect">
                      <a:avLst/>
                    </a:prstGeom>
                  </pic:spPr>
                </pic:pic>
              </a:graphicData>
            </a:graphic>
          </wp:inline>
        </w:drawing>
      </w:r>
    </w:p>
    <w:p w14:paraId="17B5B1A6" w14:textId="3E8CEAE6" w:rsidR="00EE2068" w:rsidRDefault="00EE2068" w:rsidP="00EE2068"/>
    <w:p w14:paraId="3F1C52F2" w14:textId="2D3E3409" w:rsidR="00EE2068" w:rsidRDefault="00EE2068" w:rsidP="00EE2068">
      <w:r>
        <w:rPr>
          <w:noProof/>
        </w:rPr>
        <w:drawing>
          <wp:inline distT="0" distB="0" distL="0" distR="0" wp14:anchorId="17673A24" wp14:editId="636ED069">
            <wp:extent cx="5760720" cy="31502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50235"/>
                    </a:xfrm>
                    <a:prstGeom prst="rect">
                      <a:avLst/>
                    </a:prstGeom>
                  </pic:spPr>
                </pic:pic>
              </a:graphicData>
            </a:graphic>
          </wp:inline>
        </w:drawing>
      </w:r>
    </w:p>
    <w:p w14:paraId="465EFE02" w14:textId="777C154F" w:rsidR="00EE2068" w:rsidRDefault="00EE2068" w:rsidP="00EE2068">
      <w:r>
        <w:rPr>
          <w:noProof/>
        </w:rPr>
        <w:lastRenderedPageBreak/>
        <w:drawing>
          <wp:inline distT="0" distB="0" distL="0" distR="0" wp14:anchorId="1F87A08E" wp14:editId="28E515A5">
            <wp:extent cx="5760720" cy="3192145"/>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92145"/>
                    </a:xfrm>
                    <a:prstGeom prst="rect">
                      <a:avLst/>
                    </a:prstGeom>
                  </pic:spPr>
                </pic:pic>
              </a:graphicData>
            </a:graphic>
          </wp:inline>
        </w:drawing>
      </w:r>
    </w:p>
    <w:p w14:paraId="6E4A64A4" w14:textId="59CF22AB" w:rsidR="00EE2068" w:rsidRDefault="00EE2068" w:rsidP="00EE2068">
      <w:r>
        <w:rPr>
          <w:noProof/>
        </w:rPr>
        <w:drawing>
          <wp:inline distT="0" distB="0" distL="0" distR="0" wp14:anchorId="4F7DCE08" wp14:editId="21B5E2EB">
            <wp:extent cx="5760720" cy="31857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85795"/>
                    </a:xfrm>
                    <a:prstGeom prst="rect">
                      <a:avLst/>
                    </a:prstGeom>
                  </pic:spPr>
                </pic:pic>
              </a:graphicData>
            </a:graphic>
          </wp:inline>
        </w:drawing>
      </w:r>
    </w:p>
    <w:p w14:paraId="7A71D707" w14:textId="6B561C6C" w:rsidR="00EE2068" w:rsidRDefault="00EE2068" w:rsidP="00EE2068"/>
    <w:p w14:paraId="618D4927" w14:textId="5DEDB884" w:rsidR="00EE2068" w:rsidRDefault="00EE2068" w:rsidP="00EE2068">
      <w:r>
        <w:rPr>
          <w:noProof/>
        </w:rPr>
        <w:lastRenderedPageBreak/>
        <w:drawing>
          <wp:inline distT="0" distB="0" distL="0" distR="0" wp14:anchorId="3574EA1F" wp14:editId="5ED9A076">
            <wp:extent cx="5760720" cy="319468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94685"/>
                    </a:xfrm>
                    <a:prstGeom prst="rect">
                      <a:avLst/>
                    </a:prstGeom>
                  </pic:spPr>
                </pic:pic>
              </a:graphicData>
            </a:graphic>
          </wp:inline>
        </w:drawing>
      </w:r>
    </w:p>
    <w:p w14:paraId="03CC7E24" w14:textId="269535D5" w:rsidR="00EE2068" w:rsidRDefault="00EE2068" w:rsidP="00EE2068"/>
    <w:p w14:paraId="453EF283" w14:textId="3A13D65C" w:rsidR="00EE2068" w:rsidRDefault="00EE2068" w:rsidP="00EE2068">
      <w:r>
        <w:rPr>
          <w:noProof/>
        </w:rPr>
        <w:drawing>
          <wp:inline distT="0" distB="0" distL="0" distR="0" wp14:anchorId="09E38F32" wp14:editId="6E346E0B">
            <wp:extent cx="5760720" cy="31800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80080"/>
                    </a:xfrm>
                    <a:prstGeom prst="rect">
                      <a:avLst/>
                    </a:prstGeom>
                  </pic:spPr>
                </pic:pic>
              </a:graphicData>
            </a:graphic>
          </wp:inline>
        </w:drawing>
      </w:r>
    </w:p>
    <w:p w14:paraId="2613549A" w14:textId="673F532F" w:rsidR="00CD0BBE" w:rsidRDefault="00CD0BBE" w:rsidP="00EE2068">
      <w:r>
        <w:rPr>
          <w:noProof/>
        </w:rPr>
        <w:lastRenderedPageBreak/>
        <w:drawing>
          <wp:inline distT="0" distB="0" distL="0" distR="0" wp14:anchorId="265B9E0C" wp14:editId="18289095">
            <wp:extent cx="5760720" cy="31845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84525"/>
                    </a:xfrm>
                    <a:prstGeom prst="rect">
                      <a:avLst/>
                    </a:prstGeom>
                  </pic:spPr>
                </pic:pic>
              </a:graphicData>
            </a:graphic>
          </wp:inline>
        </w:drawing>
      </w:r>
    </w:p>
    <w:p w14:paraId="03670E9D" w14:textId="213D328B" w:rsidR="00CD0BBE" w:rsidRDefault="00CD0BBE" w:rsidP="00EE2068">
      <w:pPr>
        <w:rPr>
          <w:noProof/>
        </w:rPr>
      </w:pPr>
      <w:r>
        <w:t>*</w:t>
      </w:r>
      <w:r w:rsidRPr="00CD0BBE">
        <w:rPr>
          <w:noProof/>
        </w:rPr>
        <w:t xml:space="preserve"> </w:t>
      </w:r>
      <w:r>
        <w:rPr>
          <w:noProof/>
        </w:rPr>
        <w:drawing>
          <wp:inline distT="0" distB="0" distL="0" distR="0" wp14:anchorId="2F460F74" wp14:editId="00BE57DC">
            <wp:extent cx="5760720" cy="319786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97860"/>
                    </a:xfrm>
                    <a:prstGeom prst="rect">
                      <a:avLst/>
                    </a:prstGeom>
                  </pic:spPr>
                </pic:pic>
              </a:graphicData>
            </a:graphic>
          </wp:inline>
        </w:drawing>
      </w:r>
    </w:p>
    <w:p w14:paraId="43C8CB00" w14:textId="0F846231" w:rsidR="00CD0BBE" w:rsidRDefault="00CD0BBE" w:rsidP="00EE2068">
      <w:r>
        <w:rPr>
          <w:noProof/>
        </w:rPr>
        <w:lastRenderedPageBreak/>
        <w:drawing>
          <wp:inline distT="0" distB="0" distL="0" distR="0" wp14:anchorId="4355C5C2" wp14:editId="7A0AE872">
            <wp:extent cx="5760720" cy="31845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84525"/>
                    </a:xfrm>
                    <a:prstGeom prst="rect">
                      <a:avLst/>
                    </a:prstGeom>
                  </pic:spPr>
                </pic:pic>
              </a:graphicData>
            </a:graphic>
          </wp:inline>
        </w:drawing>
      </w:r>
    </w:p>
    <w:p w14:paraId="64B7ABB8" w14:textId="015DAEC5" w:rsidR="00CD0BBE" w:rsidRDefault="00CD0BBE" w:rsidP="00EE2068">
      <w:r>
        <w:rPr>
          <w:noProof/>
        </w:rPr>
        <w:drawing>
          <wp:inline distT="0" distB="0" distL="0" distR="0" wp14:anchorId="5970FF00" wp14:editId="001A05D0">
            <wp:extent cx="5760720" cy="319405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94050"/>
                    </a:xfrm>
                    <a:prstGeom prst="rect">
                      <a:avLst/>
                    </a:prstGeom>
                  </pic:spPr>
                </pic:pic>
              </a:graphicData>
            </a:graphic>
          </wp:inline>
        </w:drawing>
      </w:r>
    </w:p>
    <w:p w14:paraId="02066382" w14:textId="06B5C22A" w:rsidR="00CD0BBE" w:rsidRPr="00EE2068" w:rsidRDefault="00CD0BBE" w:rsidP="00EE2068">
      <w:r>
        <w:rPr>
          <w:noProof/>
        </w:rPr>
        <w:lastRenderedPageBreak/>
        <w:drawing>
          <wp:inline distT="0" distB="0" distL="0" distR="0" wp14:anchorId="05E66B7A" wp14:editId="2C5B9BDF">
            <wp:extent cx="5760720" cy="3137535"/>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37535"/>
                    </a:xfrm>
                    <a:prstGeom prst="rect">
                      <a:avLst/>
                    </a:prstGeom>
                  </pic:spPr>
                </pic:pic>
              </a:graphicData>
            </a:graphic>
          </wp:inline>
        </w:drawing>
      </w:r>
    </w:p>
    <w:sectPr w:rsidR="00CD0BBE" w:rsidRPr="00EE20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5240"/>
    <w:multiLevelType w:val="hybridMultilevel"/>
    <w:tmpl w:val="47D88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CC0643"/>
    <w:multiLevelType w:val="hybridMultilevel"/>
    <w:tmpl w:val="2B0A91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7B2AD4"/>
    <w:multiLevelType w:val="hybridMultilevel"/>
    <w:tmpl w:val="92DEECBE"/>
    <w:lvl w:ilvl="0" w:tplc="F6907550">
      <w:start w:val="1"/>
      <w:numFmt w:val="bullet"/>
      <w:lvlText w:val="•"/>
      <w:lvlJc w:val="left"/>
      <w:pPr>
        <w:tabs>
          <w:tab w:val="num" w:pos="720"/>
        </w:tabs>
        <w:ind w:left="720" w:hanging="360"/>
      </w:pPr>
      <w:rPr>
        <w:rFonts w:ascii="Arial" w:hAnsi="Arial" w:hint="default"/>
      </w:rPr>
    </w:lvl>
    <w:lvl w:ilvl="1" w:tplc="0FBAB546" w:tentative="1">
      <w:start w:val="1"/>
      <w:numFmt w:val="bullet"/>
      <w:lvlText w:val="•"/>
      <w:lvlJc w:val="left"/>
      <w:pPr>
        <w:tabs>
          <w:tab w:val="num" w:pos="1440"/>
        </w:tabs>
        <w:ind w:left="1440" w:hanging="360"/>
      </w:pPr>
      <w:rPr>
        <w:rFonts w:ascii="Arial" w:hAnsi="Arial" w:hint="default"/>
      </w:rPr>
    </w:lvl>
    <w:lvl w:ilvl="2" w:tplc="E354B99C" w:tentative="1">
      <w:start w:val="1"/>
      <w:numFmt w:val="bullet"/>
      <w:lvlText w:val="•"/>
      <w:lvlJc w:val="left"/>
      <w:pPr>
        <w:tabs>
          <w:tab w:val="num" w:pos="2160"/>
        </w:tabs>
        <w:ind w:left="2160" w:hanging="360"/>
      </w:pPr>
      <w:rPr>
        <w:rFonts w:ascii="Arial" w:hAnsi="Arial" w:hint="default"/>
      </w:rPr>
    </w:lvl>
    <w:lvl w:ilvl="3" w:tplc="23748D3C" w:tentative="1">
      <w:start w:val="1"/>
      <w:numFmt w:val="bullet"/>
      <w:lvlText w:val="•"/>
      <w:lvlJc w:val="left"/>
      <w:pPr>
        <w:tabs>
          <w:tab w:val="num" w:pos="2880"/>
        </w:tabs>
        <w:ind w:left="2880" w:hanging="360"/>
      </w:pPr>
      <w:rPr>
        <w:rFonts w:ascii="Arial" w:hAnsi="Arial" w:hint="default"/>
      </w:rPr>
    </w:lvl>
    <w:lvl w:ilvl="4" w:tplc="D6365FCA" w:tentative="1">
      <w:start w:val="1"/>
      <w:numFmt w:val="bullet"/>
      <w:lvlText w:val="•"/>
      <w:lvlJc w:val="left"/>
      <w:pPr>
        <w:tabs>
          <w:tab w:val="num" w:pos="3600"/>
        </w:tabs>
        <w:ind w:left="3600" w:hanging="360"/>
      </w:pPr>
      <w:rPr>
        <w:rFonts w:ascii="Arial" w:hAnsi="Arial" w:hint="default"/>
      </w:rPr>
    </w:lvl>
    <w:lvl w:ilvl="5" w:tplc="4F666A50" w:tentative="1">
      <w:start w:val="1"/>
      <w:numFmt w:val="bullet"/>
      <w:lvlText w:val="•"/>
      <w:lvlJc w:val="left"/>
      <w:pPr>
        <w:tabs>
          <w:tab w:val="num" w:pos="4320"/>
        </w:tabs>
        <w:ind w:left="4320" w:hanging="360"/>
      </w:pPr>
      <w:rPr>
        <w:rFonts w:ascii="Arial" w:hAnsi="Arial" w:hint="default"/>
      </w:rPr>
    </w:lvl>
    <w:lvl w:ilvl="6" w:tplc="EC18DB32" w:tentative="1">
      <w:start w:val="1"/>
      <w:numFmt w:val="bullet"/>
      <w:lvlText w:val="•"/>
      <w:lvlJc w:val="left"/>
      <w:pPr>
        <w:tabs>
          <w:tab w:val="num" w:pos="5040"/>
        </w:tabs>
        <w:ind w:left="5040" w:hanging="360"/>
      </w:pPr>
      <w:rPr>
        <w:rFonts w:ascii="Arial" w:hAnsi="Arial" w:hint="default"/>
      </w:rPr>
    </w:lvl>
    <w:lvl w:ilvl="7" w:tplc="BC98CD2A" w:tentative="1">
      <w:start w:val="1"/>
      <w:numFmt w:val="bullet"/>
      <w:lvlText w:val="•"/>
      <w:lvlJc w:val="left"/>
      <w:pPr>
        <w:tabs>
          <w:tab w:val="num" w:pos="5760"/>
        </w:tabs>
        <w:ind w:left="5760" w:hanging="360"/>
      </w:pPr>
      <w:rPr>
        <w:rFonts w:ascii="Arial" w:hAnsi="Arial" w:hint="default"/>
      </w:rPr>
    </w:lvl>
    <w:lvl w:ilvl="8" w:tplc="4278593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6A"/>
    <w:rsid w:val="0002070F"/>
    <w:rsid w:val="000259AC"/>
    <w:rsid w:val="00043134"/>
    <w:rsid w:val="000C1613"/>
    <w:rsid w:val="00132676"/>
    <w:rsid w:val="001768DD"/>
    <w:rsid w:val="0035456A"/>
    <w:rsid w:val="003A24FE"/>
    <w:rsid w:val="00437EFB"/>
    <w:rsid w:val="005773FD"/>
    <w:rsid w:val="005954E6"/>
    <w:rsid w:val="006721EC"/>
    <w:rsid w:val="00691217"/>
    <w:rsid w:val="006D4472"/>
    <w:rsid w:val="00705FD4"/>
    <w:rsid w:val="00A1302C"/>
    <w:rsid w:val="00A3481E"/>
    <w:rsid w:val="00B0623F"/>
    <w:rsid w:val="00B466F2"/>
    <w:rsid w:val="00B512E9"/>
    <w:rsid w:val="00BE0BD3"/>
    <w:rsid w:val="00CD0BBE"/>
    <w:rsid w:val="00D371EC"/>
    <w:rsid w:val="00D85509"/>
    <w:rsid w:val="00D952C4"/>
    <w:rsid w:val="00DB6752"/>
    <w:rsid w:val="00DF2975"/>
    <w:rsid w:val="00EE2068"/>
    <w:rsid w:val="00EF76DE"/>
    <w:rsid w:val="00FF5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1477"/>
  <w15:chartTrackingRefBased/>
  <w15:docId w15:val="{26E3A3A2-261D-4C19-9550-E20D2F6C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21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12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912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54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456A"/>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5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3545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6721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721EC"/>
    <w:rPr>
      <w:rFonts w:asciiTheme="majorHAnsi" w:eastAsiaTheme="majorEastAsia" w:hAnsiTheme="majorHAnsi" w:cstheme="majorBidi"/>
      <w:color w:val="2F5496" w:themeColor="accent1" w:themeShade="BF"/>
      <w:sz w:val="32"/>
      <w:szCs w:val="32"/>
    </w:rPr>
  </w:style>
  <w:style w:type="table" w:styleId="Tableausimple5">
    <w:name w:val="Plain Table 5"/>
    <w:basedOn w:val="TableauNormal"/>
    <w:uiPriority w:val="45"/>
    <w:rsid w:val="00EF76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EF76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EF76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aragraphedeliste">
    <w:name w:val="List Paragraph"/>
    <w:basedOn w:val="Normal"/>
    <w:uiPriority w:val="34"/>
    <w:qFormat/>
    <w:rsid w:val="005954E6"/>
    <w:pPr>
      <w:ind w:left="720"/>
      <w:contextualSpacing/>
    </w:pPr>
  </w:style>
  <w:style w:type="character" w:customStyle="1" w:styleId="Titre2Car">
    <w:name w:val="Titre 2 Car"/>
    <w:basedOn w:val="Policepardfaut"/>
    <w:link w:val="Titre2"/>
    <w:uiPriority w:val="9"/>
    <w:rsid w:val="0069121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912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09366-2822-4892-ACB4-F3E82668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7323</TotalTime>
  <Pages>1</Pages>
  <Words>856</Words>
  <Characters>4711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ROUVIERE</dc:creator>
  <cp:keywords/>
  <dc:description/>
  <cp:lastModifiedBy>Sébastien ROUVIERE</cp:lastModifiedBy>
  <cp:revision>5</cp:revision>
  <dcterms:created xsi:type="dcterms:W3CDTF">2021-07-29T08:25:00Z</dcterms:created>
  <dcterms:modified xsi:type="dcterms:W3CDTF">2021-08-27T08:51:00Z</dcterms:modified>
</cp:coreProperties>
</file>