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200" w:after="200"/>
        <w:jc w:val="center"/>
      </w:pPr>
      <w:r>
        <w:rPr>
          <w:rFonts w:ascii="Arial" w:cs="Arial" w:eastAsia="Arial" w:hAnsi="Arial"/>
          <w:b/>
          <w:bCs/>
          <w:color w:val="1A3C6E"/>
          <w:sz w:val="64"/>
          <w:szCs w:val="64"/>
        </w:rPr>
        <w:t xml:space="preserve">KOLISYNC</w:t>
      </w:r>
    </w:p>
    <w:p>
      <w:pPr>
        <w:spacing w:before="0" w:after="80"/>
        <w:jc w:val="center"/>
      </w:pPr>
      <w:r>
        <w:rPr>
          <w:rFonts w:ascii="Arial" w:cs="Arial" w:eastAsia="Arial" w:hAnsi="Arial"/>
          <w:color w:val="555555"/>
          <w:sz w:val="28"/>
          <w:szCs w:val="28"/>
        </w:rPr>
        <w:t xml:space="preserve">SaaS B2B — Logistique &amp; Réconciliation COD</w:t>
      </w:r>
    </w:p>
    <w:p>
      <w:pPr>
        <w:pBdr>
          <w:bottom w:val="single" w:color="1A3C6E" w:sz="4" w:space="8"/>
        </w:pBdr>
        <w:spacing w:before="0" w:after="240"/>
        <w:jc w:val="center"/>
      </w:pPr>
      <w:r>
        <w:rPr>
          <w:rFonts w:ascii="Arial" w:cs="Arial" w:eastAsia="Arial" w:hAnsi="Arial"/>
          <w:b/>
          <w:bCs/>
          <w:color w:val="E67E22"/>
          <w:sz w:val="22"/>
          <w:szCs w:val="22"/>
        </w:rPr>
        <w:t xml:space="preserve">Cahier des Charges v4.0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Société</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WebappCi SARL — Abidjan, Côte d'Ivoire</w:t>
            </w:r>
          </w:p>
        </w:tc>
      </w:tr>
      <w:tr>
        <w:tc>
          <w:tcPr>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Version</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v4.0 (révision du CDC v3.1)</w:t>
            </w:r>
          </w:p>
        </w:tc>
      </w:tr>
      <w:tr>
        <w:tc>
          <w:tcPr>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Package Manager</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npm</w:t>
            </w:r>
          </w:p>
        </w:tc>
      </w:tr>
      <w:tr>
        <w:tc>
          <w:tcPr>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Contact</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contact@webappci.com</w:t>
            </w:r>
          </w:p>
        </w:tc>
      </w:tr>
    </w:tbl>
    <w:p>
      <w:pPr>
        <w:spacing w:before="120" w:after="120"/>
      </w:pPr>
      <w:r>
        <w:t xml:space="preserve"/>
      </w:r>
    </w:p>
    <w:p>
      <w:r>
        <w:br w:type="page"/>
      </w:r>
    </w:p>
    <w:p>
      <w:pPr>
        <w:pStyle w:val="Heading1"/>
        <w:pBdr>
          <w:bottom w:val="single" w:color="1A3C6E" w:sz="4" w:space="6"/>
        </w:pBdr>
        <w:spacing w:before="360" w:after="120"/>
      </w:pPr>
      <w:r>
        <w:rPr>
          <w:rFonts w:ascii="Arial" w:cs="Arial" w:eastAsia="Arial" w:hAnsi="Arial"/>
          <w:b/>
          <w:bCs/>
          <w:color w:val="1A3C6E"/>
          <w:sz w:val="30"/>
          <w:szCs w:val="30"/>
        </w:rPr>
        <w:t xml:space="preserve">1. Vision et Positionnement</w:t>
      </w:r>
    </w:p>
    <w:p>
      <w:pPr>
        <w:spacing w:before="60" w:after="60"/>
      </w:pPr>
      <w:r>
        <w:rPr>
          <w:rFonts w:ascii="Arial" w:cs="Arial" w:eastAsia="Arial" w:hAnsi="Arial"/>
          <w:sz w:val="20"/>
          <w:szCs w:val="20"/>
        </w:rPr>
        <w:t xml:space="preserve">KoliSync est une plateforme SaaS B2B (PWA) destinée aux e-commerçants informels et aux flottes de livraison Tiak-Tiak. Le produit ne gère aucun flux financier transactionnel.</w:t>
      </w:r>
    </w:p>
    <w:p>
      <w:pPr>
        <w:spacing w:before="60" w:after="60"/>
      </w:pPr>
      <w:r>
        <w:t xml:space="preserve"/>
      </w:r>
    </w:p>
    <w:p>
      <w:pPr>
        <w:spacing w:before="60" w:after="60"/>
      </w:pPr>
      <w:r>
        <w:rPr>
          <w:rFonts w:ascii="Arial" w:cs="Arial" w:eastAsia="Arial" w:hAnsi="Arial"/>
          <w:b/>
          <w:bCs/>
          <w:sz w:val="20"/>
          <w:szCs w:val="20"/>
        </w:rPr>
        <w:t xml:space="preserve">Sa proposition de valeur unique est la réconciliation comptable infaillible du Cash on Delivery (COD) et le transfert de responsabilité, adaptés aux contraintes extrêmes du terrain :</w:t>
      </w:r>
    </w:p>
    <w:p>
      <w:pPr>
        <w:pStyle w:val="ListParagraph"/>
        <w:numPr>
          <w:ilvl w:val="0"/>
          <w:numId w:val="2"/>
        </w:numPr>
        <w:spacing w:before="40" w:after="40"/>
      </w:pPr>
      <w:r>
        <w:rPr>
          <w:rFonts w:ascii="Arial" w:cs="Arial" w:eastAsia="Arial" w:hAnsi="Arial"/>
          <w:b w:val="false"/>
          <w:bCs w:val="false"/>
          <w:sz w:val="20"/>
          <w:szCs w:val="20"/>
        </w:rPr>
        <w:t xml:space="preserve">Réseau instable (2G/3G dominant)</w:t>
      </w:r>
    </w:p>
    <w:p>
      <w:pPr>
        <w:pStyle w:val="ListParagraph"/>
        <w:numPr>
          <w:ilvl w:val="0"/>
          <w:numId w:val="2"/>
        </w:numPr>
        <w:spacing w:before="40" w:after="40"/>
      </w:pPr>
      <w:r>
        <w:rPr>
          <w:rFonts w:ascii="Arial" w:cs="Arial" w:eastAsia="Arial" w:hAnsi="Arial"/>
          <w:b w:val="false"/>
          <w:bCs w:val="false"/>
          <w:sz w:val="20"/>
          <w:szCs w:val="20"/>
        </w:rPr>
        <w:t xml:space="preserve">Urgence opérationnelle permanente</w:t>
      </w:r>
    </w:p>
    <w:p>
      <w:pPr>
        <w:pStyle w:val="ListParagraph"/>
        <w:numPr>
          <w:ilvl w:val="0"/>
          <w:numId w:val="2"/>
        </w:numPr>
        <w:spacing w:before="40" w:after="40"/>
      </w:pPr>
      <w:r>
        <w:rPr>
          <w:rFonts w:ascii="Arial" w:cs="Arial" w:eastAsia="Arial" w:hAnsi="Arial"/>
          <w:b w:val="false"/>
          <w:bCs w:val="false"/>
          <w:sz w:val="20"/>
          <w:szCs w:val="20"/>
        </w:rPr>
        <w:t xml:space="preserve">Illettrisme numérique partiel des livreurs</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2. Architecture Technique</w:t>
      </w:r>
    </w:p>
    <w:p>
      <w:pPr>
        <w:pStyle w:val="Heading2"/>
        <w:spacing w:before="240" w:after="80"/>
      </w:pPr>
      <w:r>
        <w:rPr>
          <w:rFonts w:ascii="Arial" w:cs="Arial" w:eastAsia="Arial" w:hAnsi="Arial"/>
          <w:b/>
          <w:bCs/>
          <w:color w:val="1A3C6E"/>
          <w:sz w:val="24"/>
          <w:szCs w:val="24"/>
        </w:rPr>
        <w:t xml:space="preserve">2.1 Environnement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L'environnement macOS Big Sur est désormais remplacé par un environnement Docker standardisé. Cela supprime les incompatibilités OS et facilite l'onboarding des développeurs.</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Conteneurisation : Docker + docker-compose.yml (Node 20 LTS + PostgreSQL 15)</w:t>
      </w:r>
    </w:p>
    <w:p>
      <w:pPr>
        <w:pStyle w:val="ListParagraph"/>
        <w:numPr>
          <w:ilvl w:val="0"/>
          <w:numId w:val="2"/>
        </w:numPr>
        <w:spacing w:before="40" w:after="40"/>
      </w:pPr>
      <w:r>
        <w:rPr>
          <w:rFonts w:ascii="Arial" w:cs="Arial" w:eastAsia="Arial" w:hAnsi="Arial"/>
          <w:b w:val="false"/>
          <w:bCs w:val="false"/>
          <w:sz w:val="20"/>
          <w:szCs w:val="20"/>
        </w:rPr>
        <w:t xml:space="preserve">Démarrage : npm run dev (une seule commande pour tout l'environnement)</w:t>
      </w:r>
    </w:p>
    <w:p>
      <w:pPr>
        <w:pStyle w:val="ListParagraph"/>
        <w:numPr>
          <w:ilvl w:val="0"/>
          <w:numId w:val="2"/>
        </w:numPr>
        <w:spacing w:before="40" w:after="40"/>
      </w:pPr>
      <w:r>
        <w:rPr>
          <w:rFonts w:ascii="Arial" w:cs="Arial" w:eastAsia="Arial" w:hAnsi="Arial"/>
          <w:b w:val="false"/>
          <w:bCs w:val="false"/>
          <w:sz w:val="20"/>
          <w:szCs w:val="20"/>
        </w:rPr>
        <w:t xml:space="preserve">Version Node fixée : fichier .nvmrc à la racine</w:t>
      </w:r>
    </w:p>
    <w:p>
      <w:pPr>
        <w:pStyle w:val="ListParagraph"/>
        <w:numPr>
          <w:ilvl w:val="0"/>
          <w:numId w:val="2"/>
        </w:numPr>
        <w:spacing w:before="40" w:after="40"/>
      </w:pPr>
      <w:r>
        <w:rPr>
          <w:rFonts w:ascii="Arial" w:cs="Arial" w:eastAsia="Arial" w:hAnsi="Arial"/>
          <w:b w:val="false"/>
          <w:bCs w:val="false"/>
          <w:sz w:val="20"/>
          <w:szCs w:val="20"/>
        </w:rPr>
        <w:t xml:space="preserve">CI/CD : GitHub Actions sur ubuntu-latest</w:t>
      </w:r>
    </w:p>
    <w:p>
      <w:pPr>
        <w:pStyle w:val="ListParagraph"/>
        <w:numPr>
          <w:ilvl w:val="0"/>
          <w:numId w:val="2"/>
        </w:numPr>
        <w:spacing w:before="40" w:after="40"/>
      </w:pPr>
      <w:r>
        <w:rPr>
          <w:rFonts w:ascii="Arial" w:cs="Arial" w:eastAsia="Arial" w:hAnsi="Arial"/>
          <w:b w:val="false"/>
          <w:bCs w:val="false"/>
          <w:sz w:val="20"/>
          <w:szCs w:val="20"/>
        </w:rPr>
        <w:t xml:space="preserve">Package Manager : npm (remplace pnpm)</w:t>
      </w:r>
    </w:p>
    <w:p>
      <w:pPr>
        <w:spacing w:before="60" w:after="60"/>
      </w:pPr>
      <w:r>
        <w:t xml:space="preserve"/>
      </w:r>
    </w:p>
    <w:p>
      <w:pPr>
        <w:shd w:fill="F0F0F0" w:val="clear"/>
        <w:spacing w:before="40" w:after="40"/>
        <w:ind w:left="360"/>
      </w:pPr>
      <w:r>
        <w:rPr>
          <w:rFonts w:ascii="Courier New" w:cs="Courier New" w:eastAsia="Courier New" w:hAnsi="Courier New"/>
          <w:color w:val="2C3E50"/>
          <w:sz w:val="18"/>
          <w:szCs w:val="18"/>
        </w:rPr>
        <w:t xml:space="preserve"># Démarrage rapide</w:t>
      </w:r>
    </w:p>
    <w:p>
      <w:pPr>
        <w:shd w:fill="F0F0F0" w:val="clear"/>
        <w:spacing w:before="40" w:after="40"/>
        <w:ind w:left="360"/>
      </w:pPr>
      <w:r>
        <w:rPr>
          <w:rFonts w:ascii="Courier New" w:cs="Courier New" w:eastAsia="Courier New" w:hAnsi="Courier New"/>
          <w:color w:val="2C3E50"/>
          <w:sz w:val="18"/>
          <w:szCs w:val="18"/>
        </w:rPr>
        <w:t xml:space="preserve">docker compose up          # Lance Node + PostgreSQL</w:t>
      </w:r>
    </w:p>
    <w:p>
      <w:pPr>
        <w:shd w:fill="F0F0F0" w:val="clear"/>
        <w:spacing w:before="40" w:after="40"/>
        <w:ind w:left="360"/>
      </w:pPr>
      <w:r>
        <w:rPr>
          <w:rFonts w:ascii="Courier New" w:cs="Courier New" w:eastAsia="Courier New" w:hAnsi="Courier New"/>
          <w:color w:val="2C3E50"/>
          <w:sz w:val="18"/>
          <w:szCs w:val="18"/>
        </w:rPr>
        <w:t xml:space="preserve">npm install                # Installation des dépendances</w:t>
      </w:r>
    </w:p>
    <w:p>
      <w:pPr>
        <w:shd w:fill="F0F0F0" w:val="clear"/>
        <w:spacing w:before="40" w:after="40"/>
        <w:ind w:left="360"/>
      </w:pPr>
      <w:r>
        <w:rPr>
          <w:rFonts w:ascii="Courier New" w:cs="Courier New" w:eastAsia="Courier New" w:hAnsi="Courier New"/>
          <w:color w:val="2C3E50"/>
          <w:sz w:val="18"/>
          <w:szCs w:val="18"/>
        </w:rPr>
        <w:t xml:space="preserve">npm run dev                # Serveur Next.js en développement</w:t>
      </w:r>
    </w:p>
    <w:p>
      <w:pPr>
        <w:spacing w:before="60" w:after="60"/>
      </w:pPr>
      <w:r>
        <w:t xml:space="preserve"/>
      </w:r>
    </w:p>
    <w:p>
      <w:pPr>
        <w:pStyle w:val="Heading2"/>
        <w:spacing w:before="240" w:after="80"/>
      </w:pPr>
      <w:r>
        <w:rPr>
          <w:rFonts w:ascii="Arial" w:cs="Arial" w:eastAsia="Arial" w:hAnsi="Arial"/>
          <w:b/>
          <w:bCs/>
          <w:color w:val="1A3C6E"/>
          <w:sz w:val="24"/>
          <w:szCs w:val="24"/>
        </w:rPr>
        <w:t xml:space="preserve">2.2 Stack Core</w:t>
      </w:r>
    </w:p>
    <w:p>
      <w:pPr>
        <w:pStyle w:val="ListParagraph"/>
        <w:numPr>
          <w:ilvl w:val="0"/>
          <w:numId w:val="2"/>
        </w:numPr>
        <w:spacing w:before="40" w:after="40"/>
      </w:pPr>
      <w:r>
        <w:rPr>
          <w:rFonts w:ascii="Arial" w:cs="Arial" w:eastAsia="Arial" w:hAnsi="Arial"/>
          <w:b w:val="false"/>
          <w:bCs w:val="false"/>
          <w:sz w:val="20"/>
          <w:szCs w:val="20"/>
        </w:rPr>
        <w:t xml:space="preserve">Framework : Next.js 14+ (App Router), Server Components par défaut</w:t>
      </w:r>
    </w:p>
    <w:p>
      <w:pPr>
        <w:pStyle w:val="ListParagraph"/>
        <w:numPr>
          <w:ilvl w:val="0"/>
          <w:numId w:val="2"/>
        </w:numPr>
        <w:spacing w:before="40" w:after="40"/>
      </w:pPr>
      <w:r>
        <w:rPr>
          <w:rFonts w:ascii="Arial" w:cs="Arial" w:eastAsia="Arial" w:hAnsi="Arial"/>
          <w:b w:val="false"/>
          <w:bCs w:val="false"/>
          <w:sz w:val="20"/>
          <w:szCs w:val="20"/>
        </w:rPr>
        <w:t xml:space="preserve">Langage : TypeScript strict</w:t>
      </w:r>
    </w:p>
    <w:p>
      <w:pPr>
        <w:pStyle w:val="ListParagraph"/>
        <w:numPr>
          <w:ilvl w:val="0"/>
          <w:numId w:val="2"/>
        </w:numPr>
        <w:spacing w:before="40" w:after="40"/>
      </w:pPr>
      <w:r>
        <w:rPr>
          <w:rFonts w:ascii="Arial" w:cs="Arial" w:eastAsia="Arial" w:hAnsi="Arial"/>
          <w:b w:val="false"/>
          <w:bCs w:val="false"/>
          <w:sz w:val="20"/>
          <w:szCs w:val="20"/>
        </w:rPr>
        <w:t xml:space="preserve">Base de données : PostgreSQL 15 via Prisma (Singleton, migrations versionnées)</w:t>
      </w:r>
    </w:p>
    <w:p>
      <w:pPr>
        <w:pStyle w:val="ListParagraph"/>
        <w:numPr>
          <w:ilvl w:val="0"/>
          <w:numId w:val="2"/>
        </w:numPr>
        <w:spacing w:before="40" w:after="40"/>
      </w:pPr>
      <w:r>
        <w:rPr>
          <w:rFonts w:ascii="Arial" w:cs="Arial" w:eastAsia="Arial" w:hAnsi="Arial"/>
          <w:b w:val="false"/>
          <w:bCs w:val="false"/>
          <w:sz w:val="20"/>
          <w:szCs w:val="20"/>
        </w:rPr>
        <w:t xml:space="preserve">UI/UX : React 18+, Tailwind CSS</w:t>
      </w:r>
    </w:p>
    <w:p>
      <w:pPr>
        <w:pStyle w:val="ListParagraph"/>
        <w:numPr>
          <w:ilvl w:val="0"/>
          <w:numId w:val="2"/>
        </w:numPr>
        <w:spacing w:before="40" w:after="40"/>
      </w:pPr>
      <w:r>
        <w:rPr>
          <w:rFonts w:ascii="Arial" w:cs="Arial" w:eastAsia="Arial" w:hAnsi="Arial"/>
          <w:b w:val="false"/>
          <w:bCs w:val="false"/>
          <w:sz w:val="20"/>
          <w:szCs w:val="20"/>
        </w:rPr>
        <w:t xml:space="preserve">PWA &amp; Résilience : manifest.json standalone, Service Worker Workbox</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Règle Prisma : </w:t>
            </w:r>
            <w:r>
              <w:rPr>
                <w:rFonts w:ascii="Arial" w:cs="Arial" w:eastAsia="Arial" w:hAnsi="Arial"/>
                <w:sz w:val="20"/>
                <w:szCs w:val="20"/>
              </w:rPr>
              <w:t xml:space="preserve">Utiliser exclusivement npx prisma migrate dev. L'utilisation de db push en production est strictement interdite.</w:t>
            </w:r>
          </w:p>
        </w:tc>
      </w:tr>
    </w:tbl>
    <w:p>
      <w:pPr>
        <w:spacing w:before="60" w:after="60"/>
      </w:pPr>
      <w:r>
        <w:t xml:space="preserve"/>
      </w:r>
    </w:p>
    <w:p>
      <w:pPr>
        <w:pStyle w:val="Heading2"/>
        <w:spacing w:before="240" w:after="80"/>
      </w:pPr>
      <w:r>
        <w:rPr>
          <w:rFonts w:ascii="Arial" w:cs="Arial" w:eastAsia="Arial" w:hAnsi="Arial"/>
          <w:b/>
          <w:bCs/>
          <w:color w:val="1A3C6E"/>
          <w:sz w:val="24"/>
          <w:szCs w:val="24"/>
        </w:rPr>
        <w:t xml:space="preserve">2.3 Architecture Multi-Tenant (Row-Level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L'architecture multi-tenant n'était pas spécifiée. Le choix retenu est Row-Level Security (RLS) PostgreSQL : isolation forte, coût infra maîtrisé, pas de migration complexe.</w:t>
            </w:r>
          </w:p>
        </w:tc>
      </w:tr>
    </w:tbl>
    <w:p>
      <w:pPr>
        <w:spacing w:before="60" w:after="60"/>
      </w:pPr>
      <w:r>
        <w:t xml:space="preserve"/>
      </w:r>
    </w:p>
    <w:p>
      <w:pPr>
        <w:spacing w:before="60" w:after="60"/>
      </w:pPr>
      <w:r>
        <w:rPr>
          <w:rFonts w:ascii="Arial" w:cs="Arial" w:eastAsia="Arial" w:hAnsi="Arial"/>
          <w:sz w:val="20"/>
          <w:szCs w:val="20"/>
        </w:rPr>
        <w:t xml:space="preserve">Chaque table métier porte une colonne tenant_id. Le RLS natif PostgreSQL est activé et un middleware Prisma injecte automatiquement le tenant_id à chaque requête.</w:t>
      </w:r>
    </w:p>
    <w:p>
      <w:pPr>
        <w:spacing w:before="60" w:after="60"/>
      </w:pPr>
      <w:r>
        <w:t xml:space="preserve"/>
      </w:r>
    </w:p>
    <w:p>
      <w:pPr>
        <w:shd w:fill="F0F0F0" w:val="clear"/>
        <w:spacing w:before="40" w:after="40"/>
        <w:ind w:left="360"/>
      </w:pPr>
      <w:r>
        <w:rPr>
          <w:rFonts w:ascii="Courier New" w:cs="Courier New" w:eastAsia="Courier New" w:hAnsi="Courier New"/>
          <w:color w:val="2C3E50"/>
          <w:sz w:val="18"/>
          <w:szCs w:val="18"/>
        </w:rPr>
        <w:t xml:space="preserve">// lib/prisma.ts — Middleware d'isolation tenant</w:t>
      </w:r>
    </w:p>
    <w:p>
      <w:pPr>
        <w:shd w:fill="F0F0F0" w:val="clear"/>
        <w:spacing w:before="40" w:after="40"/>
        <w:ind w:left="360"/>
      </w:pPr>
      <w:r>
        <w:rPr>
          <w:rFonts w:ascii="Courier New" w:cs="Courier New" w:eastAsia="Courier New" w:hAnsi="Courier New"/>
          <w:color w:val="2C3E50"/>
          <w:sz w:val="18"/>
          <w:szCs w:val="18"/>
        </w:rPr>
        <w:t xml:space="preserve">prisma.$use(async (params, next) =&gt; {</w:t>
      </w:r>
    </w:p>
    <w:p>
      <w:pPr>
        <w:shd w:fill="F0F0F0" w:val="clear"/>
        <w:spacing w:before="40" w:after="40"/>
        <w:ind w:left="360"/>
      </w:pPr>
      <w:r>
        <w:rPr>
          <w:rFonts w:ascii="Courier New" w:cs="Courier New" w:eastAsia="Courier New" w:hAnsi="Courier New"/>
          <w:color w:val="2C3E50"/>
          <w:sz w:val="18"/>
          <w:szCs w:val="18"/>
        </w:rPr>
        <w:t xml:space="preserve">  const tenantId = getTenantFromContext();</w:t>
      </w:r>
    </w:p>
    <w:p>
      <w:pPr>
        <w:shd w:fill="F0F0F0" w:val="clear"/>
        <w:spacing w:before="40" w:after="40"/>
        <w:ind w:left="360"/>
      </w:pPr>
      <w:r>
        <w:rPr>
          <w:rFonts w:ascii="Courier New" w:cs="Courier New" w:eastAsia="Courier New" w:hAnsi="Courier New"/>
          <w:color w:val="2C3E50"/>
          <w:sz w:val="18"/>
          <w:szCs w:val="18"/>
        </w:rPr>
        <w:t xml:space="preserve">  if (params.args?.where) {</w:t>
      </w:r>
    </w:p>
    <w:p>
      <w:pPr>
        <w:shd w:fill="F0F0F0" w:val="clear"/>
        <w:spacing w:before="40" w:after="40"/>
        <w:ind w:left="360"/>
      </w:pPr>
      <w:r>
        <w:rPr>
          <w:rFonts w:ascii="Courier New" w:cs="Courier New" w:eastAsia="Courier New" w:hAnsi="Courier New"/>
          <w:color w:val="2C3E50"/>
          <w:sz w:val="18"/>
          <w:szCs w:val="18"/>
        </w:rPr>
        <w:t xml:space="preserve">    params.args.where.tenantId = tenantId;</w:t>
      </w:r>
    </w:p>
    <w:p>
      <w:pPr>
        <w:shd w:fill="F0F0F0" w:val="clear"/>
        <w:spacing w:before="40" w:after="40"/>
        <w:ind w:left="360"/>
      </w:pPr>
      <w:r>
        <w:rPr>
          <w:rFonts w:ascii="Courier New" w:cs="Courier New" w:eastAsia="Courier New" w:hAnsi="Courier New"/>
          <w:color w:val="2C3E50"/>
          <w:sz w:val="18"/>
          <w:szCs w:val="18"/>
        </w:rPr>
        <w:t xml:space="preserve">  }</w:t>
      </w:r>
    </w:p>
    <w:p>
      <w:pPr>
        <w:shd w:fill="F0F0F0" w:val="clear"/>
        <w:spacing w:before="40" w:after="40"/>
        <w:ind w:left="360"/>
      </w:pPr>
      <w:r>
        <w:rPr>
          <w:rFonts w:ascii="Courier New" w:cs="Courier New" w:eastAsia="Courier New" w:hAnsi="Courier New"/>
          <w:color w:val="2C3E50"/>
          <w:sz w:val="18"/>
          <w:szCs w:val="18"/>
        </w:rPr>
        <w:t xml:space="preserve">  return next(params);</w:t>
      </w:r>
    </w:p>
    <w:p>
      <w:pPr>
        <w:shd w:fill="F0F0F0" w:val="clear"/>
        <w:spacing w:before="40" w:after="40"/>
        <w:ind w:left="360"/>
      </w:pPr>
      <w:r>
        <w:rPr>
          <w:rFonts w:ascii="Courier New" w:cs="Courier New" w:eastAsia="Courier New" w:hAnsi="Courier New"/>
          <w:color w:val="2C3E50"/>
          <w:sz w:val="18"/>
          <w:szCs w:val="18"/>
        </w:rPr>
        <w:t xml:space="preserve">});</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3. Structure de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1A3C6E" w:val="clear"/>
            <w:tcMar>
              <w:top w:type="dxa" w:w="80"/>
              <w:left w:type="dxa" w:w="150"/>
              <w:bottom w:type="dxa" w:w="80"/>
              <w:right w:type="dxa" w:w="150"/>
            </w:tcMar>
          </w:tcPr>
          <w:p>
            <w:r>
              <w:rPr>
                <w:rFonts w:ascii="Arial" w:cs="Arial" w:eastAsia="Arial" w:hAnsi="Arial"/>
                <w:b/>
                <w:bCs/>
                <w:color w:val="FFFFFF"/>
                <w:sz w:val="20"/>
                <w:szCs w:val="20"/>
              </w:rPr>
              <w:t xml:space="preserve">Dossier</w:t>
            </w:r>
          </w:p>
        </w:tc>
        <w:tc>
          <w:tcPr>
            <w:tcBorders>
              <w:top w:val="single" w:color="CCCCCC" w:sz="1"/>
              <w:left w:val="single" w:color="CCCCCC" w:sz="1"/>
              <w:bottom w:val="single" w:color="CCCCCC" w:sz="1"/>
              <w:right w:val="single" w:color="CCCCCC" w:sz="1"/>
            </w:tcBorders>
            <w:shd w:fill="1A3C6E" w:val="clear"/>
            <w:tcMar>
              <w:top w:type="dxa" w:w="80"/>
              <w:left w:type="dxa" w:w="150"/>
              <w:bottom w:type="dxa" w:w="80"/>
              <w:right w:type="dxa" w:w="150"/>
            </w:tcMar>
          </w:tcPr>
          <w:p>
            <w:r>
              <w:rPr>
                <w:rFonts w:ascii="Arial" w:cs="Arial" w:eastAsia="Arial" w:hAnsi="Arial"/>
                <w:b/>
                <w:bCs/>
                <w:color w:val="FFFFFF"/>
                <w:sz w:val="20"/>
                <w:szCs w:val="20"/>
              </w:rPr>
              <w:t xml:space="preserve">Contenu</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Courier New" w:cs="Courier New" w:eastAsia="Courier New" w:hAnsi="Courier New"/>
                <w:b/>
                <w:bCs/>
                <w:sz w:val="18"/>
                <w:szCs w:val="18"/>
              </w:rPr>
              <w:t xml:space="preserve">/app</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Layouts par rôles, pages, routes API Next.js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/components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Composants React réutilisables</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Courier New" w:cs="Courier New" w:eastAsia="Courier New" w:hAnsi="Courier New"/>
                <w:b/>
                <w:bCs/>
                <w:sz w:val="18"/>
                <w:szCs w:val="18"/>
              </w:rPr>
              <w:t xml:space="preserve">/ui</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Composants atomiques (Button, BadgeStatut, Modal)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/features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Blocs métier (ReconciliationBoard, ScannerPIN)</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Courier New" w:cs="Courier New" w:eastAsia="Courier New" w:hAnsi="Courier New"/>
                <w:b/>
                <w:bCs/>
                <w:sz w:val="18"/>
                <w:szCs w:val="18"/>
              </w:rPr>
              <w:t xml:space="preserve">/lib</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Utilitaires, singleton Prisma, DTOs Zod, middleware tenant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/hooks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useOfflineValidation, useGeolocationFallback, useNetworkQuality</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Courier New" w:cs="Courier New" w:eastAsia="Courier New" w:hAnsi="Courier New"/>
                <w:b/>
                <w:bCs/>
                <w:sz w:val="18"/>
                <w:szCs w:val="18"/>
              </w:rPr>
              <w:t xml:space="preserve">/prisma</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Schema, migrations versionnées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/types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Typages TypeScript globaux</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Courier New" w:cs="Courier New" w:eastAsia="Courier New" w:hAnsi="Courier New"/>
                <w:b/>
                <w:bCs/>
                <w:sz w:val="18"/>
                <w:szCs w:val="18"/>
              </w:rPr>
              <w:t xml:space="preserve">/docker</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docker-compose.yml, Dockerfile.dev</w:t>
            </w:r>
          </w:p>
        </w:tc>
      </w:tr>
    </w:tbl>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4. Modèle Économique — Stratégie Soft-Lock Inversé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Le Soft-Lock punitif (blocage au 31ème colis) est remplacé par un Soft-Lock inversé basé sur la démonstration de valeur avant la friction.</w:t>
            </w:r>
          </w:p>
        </w:tc>
      </w:tr>
    </w:tbl>
    <w:p>
      <w:pPr>
        <w:spacing w:before="60" w:after="60"/>
      </w:pPr>
      <w:r>
        <w:t xml:space="preserve"/>
      </w:r>
    </w:p>
    <w:p>
      <w:pPr>
        <w:pStyle w:val="Heading2"/>
        <w:spacing w:before="240" w:after="80"/>
      </w:pPr>
      <w:r>
        <w:rPr>
          <w:rFonts w:ascii="Arial" w:cs="Arial" w:eastAsia="Arial" w:hAnsi="Arial"/>
          <w:b/>
          <w:bCs/>
          <w:color w:val="1A3C6E"/>
          <w:sz w:val="24"/>
          <w:szCs w:val="24"/>
        </w:rPr>
        <w:t xml:space="preserve">4.1 Acquisition Freemium</w:t>
      </w:r>
    </w:p>
    <w:p>
      <w:pPr>
        <w:pStyle w:val="ListParagraph"/>
        <w:numPr>
          <w:ilvl w:val="0"/>
          <w:numId w:val="2"/>
        </w:numPr>
        <w:spacing w:before="40" w:after="40"/>
      </w:pPr>
      <w:r>
        <w:rPr>
          <w:rFonts w:ascii="Arial" w:cs="Arial" w:eastAsia="Arial" w:hAnsi="Arial"/>
          <w:b w:val="false"/>
          <w:bCs w:val="false"/>
          <w:sz w:val="20"/>
          <w:szCs w:val="20"/>
        </w:rPr>
        <w:t xml:space="preserve">30 expéditions gratuites par mois sans restriction</w:t>
      </w:r>
    </w:p>
    <w:p>
      <w:pPr>
        <w:pStyle w:val="ListParagraph"/>
        <w:numPr>
          <w:ilvl w:val="0"/>
          <w:numId w:val="2"/>
        </w:numPr>
        <w:spacing w:before="40" w:after="40"/>
      </w:pPr>
      <w:r>
        <w:rPr>
          <w:rFonts w:ascii="Arial" w:cs="Arial" w:eastAsia="Arial" w:hAnsi="Arial"/>
          <w:b w:val="false"/>
          <w:bCs w:val="false"/>
          <w:sz w:val="20"/>
          <w:szCs w:val="20"/>
        </w:rPr>
        <w:t xml:space="preserve">Accès complet au Dashboard de Réconciliation du Cash pendant cette période</w:t>
      </w:r>
    </w:p>
    <w:p>
      <w:pPr>
        <w:spacing w:before="60" w:after="60"/>
      </w:pPr>
      <w:r>
        <w:t xml:space="preserve"/>
      </w:r>
    </w:p>
    <w:p>
      <w:pPr>
        <w:pStyle w:val="Heading2"/>
        <w:spacing w:before="240" w:after="80"/>
      </w:pPr>
      <w:r>
        <w:rPr>
          <w:rFonts w:ascii="Arial" w:cs="Arial" w:eastAsia="Arial" w:hAnsi="Arial"/>
          <w:b/>
          <w:bCs/>
          <w:color w:val="1A3C6E"/>
          <w:sz w:val="24"/>
          <w:szCs w:val="24"/>
        </w:rPr>
        <w:t xml:space="preserve">4.2 Soft-Lock Inversé (Post-Quota)</w:t>
      </w:r>
    </w:p>
    <w:p>
      <w:pPr>
        <w:spacing w:before="60" w:after="60"/>
      </w:pPr>
      <w:r>
        <w:rPr>
          <w:rFonts w:ascii="Arial" w:cs="Arial" w:eastAsia="Arial" w:hAnsi="Arial"/>
          <w:sz w:val="20"/>
          <w:szCs w:val="20"/>
        </w:rPr>
        <w:t xml:space="preserve">Au dépassement du quota de 30 expéditions, le système ne se verrouille PAS immédiatement. La stratégie est la suivante :</w:t>
      </w:r>
    </w:p>
    <w:p>
      <w:pPr>
        <w:pStyle w:val="ListParagraph"/>
        <w:numPr>
          <w:ilvl w:val="0"/>
          <w:numId w:val="2"/>
        </w:numPr>
        <w:spacing w:before="40" w:after="40"/>
      </w:pPr>
      <w:r>
        <w:rPr>
          <w:rFonts w:ascii="Arial" w:cs="Arial" w:eastAsia="Arial" w:hAnsi="Arial"/>
          <w:b w:val="false"/>
          <w:bCs w:val="false"/>
          <w:sz w:val="20"/>
          <w:szCs w:val="20"/>
        </w:rPr>
        <w:t xml:space="preserve">J+0 : Le Dashboard reste entièrement accessible. Un bandeau non bloquant affiche : "Quota atteint — Accès complet encore disponible 7 jours"</w:t>
      </w:r>
    </w:p>
    <w:p>
      <w:pPr>
        <w:pStyle w:val="ListParagraph"/>
        <w:numPr>
          <w:ilvl w:val="0"/>
          <w:numId w:val="2"/>
        </w:numPr>
        <w:spacing w:before="40" w:after="40"/>
      </w:pPr>
      <w:r>
        <w:rPr>
          <w:rFonts w:ascii="Arial" w:cs="Arial" w:eastAsia="Arial" w:hAnsi="Arial"/>
          <w:b w:val="false"/>
          <w:bCs w:val="false"/>
          <w:sz w:val="20"/>
          <w:szCs w:val="20"/>
        </w:rPr>
        <w:t xml:space="preserve">J+1 à J+6 : Countdown visible avec le montant COD non réconcilié affiché en temps réel — le vendeur voit concrètement ce qu'il perdrait sans abonnement</w:t>
      </w:r>
    </w:p>
    <w:p>
      <w:pPr>
        <w:pStyle w:val="ListParagraph"/>
        <w:numPr>
          <w:ilvl w:val="0"/>
          <w:numId w:val="2"/>
        </w:numPr>
        <w:spacing w:before="40" w:after="40"/>
      </w:pPr>
      <w:r>
        <w:rPr>
          <w:rFonts w:ascii="Arial" w:cs="Arial" w:eastAsia="Arial" w:hAnsi="Arial"/>
          <w:b w:val="false"/>
          <w:bCs w:val="false"/>
          <w:sz w:val="20"/>
          <w:szCs w:val="20"/>
        </w:rPr>
        <w:t xml:space="preserve">J+7 : Le Dashboard de Réconciliation se verrouille. Le système opérationnel (dispatch, app livreur, tracking) continue de fonctionner sans interruption</w:t>
      </w:r>
    </w:p>
    <w:p>
      <w:pPr>
        <w:pStyle w:val="ListParagraph"/>
        <w:numPr>
          <w:ilvl w:val="0"/>
          <w:numId w:val="2"/>
        </w:numPr>
        <w:spacing w:before="40" w:after="40"/>
      </w:pPr>
      <w:r>
        <w:rPr>
          <w:rFonts w:ascii="Arial" w:cs="Arial" w:eastAsia="Arial" w:hAnsi="Arial"/>
          <w:b w:val="false"/>
          <w:bCs w:val="false"/>
          <w:sz w:val="20"/>
          <w:szCs w:val="20"/>
        </w:rPr>
        <w:t xml:space="preserve">Conversion : Déblocage via abonnement mensuel CinetPay</w:t>
      </w:r>
    </w:p>
    <w:p>
      <w:pPr>
        <w:spacing w:before="60" w:after="60"/>
      </w:pPr>
      <w:r>
        <w:t xml:space="preserve"/>
      </w:r>
    </w:p>
    <w:p>
      <w:pPr>
        <w:spacing w:before="60" w:after="60"/>
      </w:pPr>
      <w:r>
        <w:rPr>
          <w:rFonts w:ascii="Arial" w:cs="Arial" w:eastAsia="Arial" w:hAnsi="Arial"/>
          <w:sz w:val="20"/>
          <w:szCs w:val="20"/>
        </w:rPr>
        <w:t xml:space="preserve">Ce mécanisme crée une dépendance au confort avant la friction, réduisant le risque d'abandon et de bouche-à-oreille négatif.</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5. Résilience Hors-Ligne &amp; Gestion des Conflits</w:t>
      </w:r>
    </w:p>
    <w:p>
      <w:pPr>
        <w:pStyle w:val="Heading2"/>
        <w:spacing w:before="240" w:after="80"/>
      </w:pPr>
      <w:r>
        <w:rPr>
          <w:rFonts w:ascii="Arial" w:cs="Arial" w:eastAsia="Arial" w:hAnsi="Arial"/>
          <w:b/>
          <w:bCs/>
          <w:color w:val="1A3C6E"/>
          <w:sz w:val="24"/>
          <w:szCs w:val="24"/>
        </w:rPr>
        <w:t xml:space="preserve">5.1 Temps Réel — SSE Adaptatif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Les Server-Sent Events (SSE) seuls sont inadaptés aux réseaux 3G/2G africains. Un mécanisme adaptatif selon la qualité réseau est imposé.</w:t>
            </w:r>
          </w:p>
        </w:tc>
      </w:tr>
    </w:tbl>
    <w:p>
      <w:pPr>
        <w:spacing w:before="60" w:after="60"/>
      </w:pPr>
      <w:r>
        <w:t xml:space="preserve"/>
      </w:r>
    </w:p>
    <w:p>
      <w:pPr>
        <w:spacing w:before="60" w:after="60"/>
      </w:pPr>
      <w:r>
        <w:rPr>
          <w:rFonts w:ascii="Arial" w:cs="Arial" w:eastAsia="Arial" w:hAnsi="Arial"/>
          <w:sz w:val="20"/>
          <w:szCs w:val="20"/>
        </w:rPr>
        <w:t xml:space="preserve">Le hook useNetworkQuality détecte en continu la qualité de connexion et adapte la stratégie de communication :</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Connexion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Stratégie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20"/>
                <w:szCs w:val="20"/>
              </w:rPr>
              <w:t xml:space="preserve">4G / WiFi</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SSE classique</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Connexion persistante, push immédiat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Long-polling adaptatif</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Requête toutes les 15 secondes</w:t>
            </w:r>
          </w:p>
        </w:tc>
      </w:tr>
      <w:tr>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20"/>
                <w:szCs w:val="20"/>
              </w:rPr>
              <w:t xml:space="preserve">2G / Lent</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Long-polling étendu</w:t>
            </w:r>
          </w:p>
        </w:tc>
        <w:tc>
          <w:tcPr>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20"/>
                <w:szCs w:val="20"/>
              </w:rPr>
              <w:t xml:space="preserve">Requête toutes les 30 secondes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Hors-ligne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Worker local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 push à la reconnexion</w:t>
            </w:r>
          </w:p>
        </w:tc>
      </w:tr>
    </w:tbl>
    <w:p>
      <w:pPr>
        <w:spacing w:before="60" w:after="60"/>
      </w:pPr>
      <w:r>
        <w:t xml:space="preserve"/>
      </w:r>
    </w:p>
    <w:p>
      <w:pPr>
        <w:pStyle w:val="Heading2"/>
        <w:spacing w:before="240" w:after="80"/>
      </w:pPr>
      <w:r>
        <w:rPr>
          <w:rFonts w:ascii="Arial" w:cs="Arial" w:eastAsia="Arial" w:hAnsi="Arial"/>
          <w:b/>
          <w:bCs/>
          <w:color w:val="1A3C6E"/>
          <w:sz w:val="24"/>
          <w:szCs w:val="24"/>
        </w:rPr>
        <w:t xml:space="preserve">5.2 Gestion des Conflits de Synchronisation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Les conflits de synchronisation offline non adressés dans le v3.1 sont maintenant résolus via une stratégie CRDT légère avec horodatage logique.</w:t>
            </w:r>
          </w:p>
        </w:tc>
      </w:tr>
    </w:tbl>
    <w:p>
      <w:pPr>
        <w:spacing w:before="60" w:after="60"/>
      </w:pPr>
      <w:r>
        <w:t xml:space="preserve"/>
      </w:r>
    </w:p>
    <w:p>
      <w:pPr>
        <w:spacing w:before="60" w:after="60"/>
      </w:pPr>
      <w:r>
        <w:rPr>
          <w:rFonts w:ascii="Arial" w:cs="Arial" w:eastAsia="Arial" w:hAnsi="Arial"/>
          <w:sz w:val="20"/>
          <w:szCs w:val="20"/>
        </w:rPr>
        <w:t xml:space="preserve">Chaque action locale reçoit un logicalTimestamp (Lamport Clock). À la resynchronisation, les règles de résolution sont explicites et immuables :</w:t>
      </w:r>
    </w:p>
    <w:p>
      <w:pPr>
        <w:pStyle w:val="ListParagraph"/>
        <w:numPr>
          <w:ilvl w:val="0"/>
          <w:numId w:val="2"/>
        </w:numPr>
        <w:spacing w:before="40" w:after="40"/>
      </w:pPr>
      <w:r>
        <w:rPr>
          <w:rFonts w:ascii="Arial" w:cs="Arial" w:eastAsia="Arial" w:hAnsi="Arial"/>
          <w:b w:val="false"/>
          <w:bCs w:val="false"/>
          <w:sz w:val="20"/>
          <w:szCs w:val="20"/>
        </w:rPr>
        <w:t xml:space="preserve">DELIVERED_VERIFIED &gt; FAILED_RETURNED — la livraison physique constatée prime</w:t>
      </w:r>
    </w:p>
    <w:p>
      <w:pPr>
        <w:pStyle w:val="ListParagraph"/>
        <w:numPr>
          <w:ilvl w:val="0"/>
          <w:numId w:val="2"/>
        </w:numPr>
        <w:spacing w:before="40" w:after="40"/>
      </w:pPr>
      <w:r>
        <w:rPr>
          <w:rFonts w:ascii="Arial" w:cs="Arial" w:eastAsia="Arial" w:hAnsi="Arial"/>
          <w:b w:val="false"/>
          <w:bCs w:val="false"/>
          <w:sz w:val="20"/>
          <w:szCs w:val="20"/>
        </w:rPr>
        <w:t xml:space="preserve">Conflit non résolvable automatiquement → statut CONFLICT + notification vendeur pour arbitrage manuel</w:t>
      </w:r>
    </w:p>
    <w:p>
      <w:pPr>
        <w:pStyle w:val="ListParagraph"/>
        <w:numPr>
          <w:ilvl w:val="0"/>
          <w:numId w:val="2"/>
        </w:numPr>
        <w:spacing w:before="40" w:after="40"/>
      </w:pPr>
      <w:r>
        <w:rPr>
          <w:rFonts w:ascii="Arial" w:cs="Arial" w:eastAsia="Arial" w:hAnsi="Arial"/>
          <w:b w:val="false"/>
          <w:bCs w:val="false"/>
          <w:sz w:val="20"/>
          <w:szCs w:val="20"/>
        </w:rPr>
        <w:t xml:space="preserve">Historique complet des transitions dans une table package_events (event sourcing léger)</w:t>
      </w:r>
    </w:p>
    <w:p>
      <w:pPr>
        <w:spacing w:before="60" w:after="60"/>
      </w:pPr>
      <w:r>
        <w:t xml:space="preserve"/>
      </w:r>
    </w:p>
    <w:p>
      <w:pPr>
        <w:spacing w:before="60" w:after="60"/>
      </w:pPr>
      <w:r>
        <w:rPr>
          <w:rFonts w:ascii="Arial" w:cs="Arial" w:eastAsia="Arial" w:hAnsi="Arial"/>
          <w:sz w:val="20"/>
          <w:szCs w:val="20"/>
        </w:rPr>
        <w:t xml:space="preserve">La table package_events stocke chaque changement d'état avec son timestamp logique, son auteur et ses coordonnées GPS si disponibles. Aucune donnée n'est écrasée.</w:t>
      </w:r>
    </w:p>
    <w:p>
      <w:pPr>
        <w:spacing w:before="60" w:after="60"/>
      </w:pPr>
      <w:r>
        <w:t xml:space="preserve"/>
      </w:r>
    </w:p>
    <w:p>
      <w:pPr>
        <w:pStyle w:val="Heading2"/>
        <w:spacing w:before="240" w:after="80"/>
      </w:pPr>
      <w:r>
        <w:rPr>
          <w:rFonts w:ascii="Arial" w:cs="Arial" w:eastAsia="Arial" w:hAnsi="Arial"/>
          <w:b/>
          <w:bCs/>
          <w:color w:val="1A3C6E"/>
          <w:sz w:val="24"/>
          <w:szCs w:val="24"/>
        </w:rPr>
        <w:t xml:space="preserve">5.3 Service Worker Workbox (PWA)</w:t>
      </w:r>
    </w:p>
    <w:p>
      <w:pPr>
        <w:pStyle w:val="ListParagraph"/>
        <w:numPr>
          <w:ilvl w:val="0"/>
          <w:numId w:val="2"/>
        </w:numPr>
        <w:spacing w:before="40" w:after="40"/>
      </w:pPr>
      <w:r>
        <w:rPr>
          <w:rFonts w:ascii="Arial" w:cs="Arial" w:eastAsia="Arial" w:hAnsi="Arial"/>
          <w:b w:val="false"/>
          <w:bCs w:val="false"/>
          <w:sz w:val="20"/>
          <w:szCs w:val="20"/>
        </w:rPr>
        <w:t xml:space="preserve">Network First pour les requêtes API — fraîcheur des données prioritaire</w:t>
      </w:r>
    </w:p>
    <w:p>
      <w:pPr>
        <w:pStyle w:val="ListParagraph"/>
        <w:numPr>
          <w:ilvl w:val="0"/>
          <w:numId w:val="2"/>
        </w:numPr>
        <w:spacing w:before="40" w:after="40"/>
      </w:pPr>
      <w:r>
        <w:rPr>
          <w:rFonts w:ascii="Arial" w:cs="Arial" w:eastAsia="Arial" w:hAnsi="Arial"/>
          <w:b w:val="false"/>
          <w:bCs w:val="false"/>
          <w:sz w:val="20"/>
          <w:szCs w:val="20"/>
        </w:rPr>
        <w:t xml:space="preserve">Cache First pour les assets statiques — performance au chargement</w:t>
      </w:r>
    </w:p>
    <w:p>
      <w:pPr>
        <w:pStyle w:val="ListParagraph"/>
        <w:numPr>
          <w:ilvl w:val="0"/>
          <w:numId w:val="2"/>
        </w:numPr>
        <w:spacing w:before="40" w:after="40"/>
      </w:pPr>
      <w:r>
        <w:rPr>
          <w:rFonts w:ascii="Arial" w:cs="Arial" w:eastAsia="Arial" w:hAnsi="Arial"/>
          <w:b w:val="false"/>
          <w:bCs w:val="false"/>
          <w:sz w:val="20"/>
          <w:szCs w:val="20"/>
        </w:rPr>
        <w:t xml:space="preserve">File d'attente IndexedDB pour les requêtes hors-ligne — rejouées à la reconnexion dans l'ordre du logicalTimestamp</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6. Parcours Utilisateurs &amp; Fallbacks Terrain</w:t>
      </w:r>
    </w:p>
    <w:p>
      <w:pPr>
        <w:pStyle w:val="Heading2"/>
        <w:spacing w:before="240" w:after="80"/>
      </w:pPr>
      <w:r>
        <w:rPr>
          <w:rFonts w:ascii="Arial" w:cs="Arial" w:eastAsia="Arial" w:hAnsi="Arial"/>
          <w:b/>
          <w:bCs/>
          <w:color w:val="1A3C6E"/>
          <w:sz w:val="24"/>
          <w:szCs w:val="24"/>
        </w:rPr>
        <w:t xml:space="preserve">6.1 Le Livreur — PWA Mobile-First</w:t>
      </w:r>
    </w:p>
    <w:p>
      <w:pPr>
        <w:pStyle w:val="ListParagraph"/>
        <w:numPr>
          <w:ilvl w:val="0"/>
          <w:numId w:val="2"/>
        </w:numPr>
        <w:spacing w:before="40" w:after="40"/>
      </w:pPr>
      <w:r>
        <w:rPr>
          <w:rFonts w:ascii="Arial" w:cs="Arial" w:eastAsia="Arial" w:hAnsi="Arial"/>
          <w:b w:val="false"/>
          <w:bCs w:val="false"/>
          <w:sz w:val="20"/>
          <w:szCs w:val="20"/>
        </w:rPr>
        <w:t xml:space="preserve">Réception des courses et navigation GPS</w:t>
      </w:r>
    </w:p>
    <w:p>
      <w:pPr>
        <w:pStyle w:val="ListParagraph"/>
        <w:numPr>
          <w:ilvl w:val="0"/>
          <w:numId w:val="2"/>
        </w:numPr>
        <w:spacing w:before="40" w:after="40"/>
      </w:pPr>
      <w:r>
        <w:rPr>
          <w:rFonts w:ascii="Arial" w:cs="Arial" w:eastAsia="Arial" w:hAnsi="Arial"/>
          <w:b w:val="false"/>
          <w:bCs w:val="false"/>
          <w:sz w:val="20"/>
          <w:szCs w:val="20"/>
        </w:rPr>
        <w:t xml:space="preserve">Validation Nominale (PIN) : Saisie du code client, fonctionne hors-ligne via Service Worker</w:t>
      </w:r>
    </w:p>
    <w:p>
      <w:pPr>
        <w:spacing w:before="60" w:after="60"/>
      </w:pPr>
      <w:r>
        <w:t xml:space="preserve"/>
      </w:r>
    </w:p>
    <w:p>
      <w:pPr>
        <w:spacing w:before="180" w:after="60"/>
      </w:pPr>
      <w:r>
        <w:rPr>
          <w:rFonts w:ascii="Arial" w:cs="Arial" w:eastAsia="Arial" w:hAnsi="Arial"/>
          <w:b/>
          <w:bCs/>
          <w:color w:val="555555"/>
          <w:sz w:val="22"/>
          <w:szCs w:val="22"/>
        </w:rPr>
        <w:t xml:space="preserve">Gestion des permissions GPS — Contrainte résolue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navigator.geolocation peut être refusé par le livreur, rendant le Fallback GPS inopérant. La solution : demander la permission à l'onboarding avec une explication métier claire.</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À l'onboarding : demande de permission GPS avec le message "Votre protection en cas de litige client"</w:t>
      </w:r>
    </w:p>
    <w:p>
      <w:pPr>
        <w:pStyle w:val="ListParagraph"/>
        <w:numPr>
          <w:ilvl w:val="0"/>
          <w:numId w:val="2"/>
        </w:numPr>
        <w:spacing w:before="40" w:after="40"/>
      </w:pPr>
      <w:r>
        <w:rPr>
          <w:rFonts w:ascii="Arial" w:cs="Arial" w:eastAsia="Arial" w:hAnsi="Arial"/>
          <w:b w:val="false"/>
          <w:bCs w:val="false"/>
          <w:sz w:val="20"/>
          <w:szCs w:val="20"/>
        </w:rPr>
        <w:t xml:space="preserve">Permission accordée → Fallback GPS disponible (DELIVERED_UNSECURED avec coordonnées)</w:t>
      </w:r>
    </w:p>
    <w:p>
      <w:pPr>
        <w:pStyle w:val="ListParagraph"/>
        <w:numPr>
          <w:ilvl w:val="0"/>
          <w:numId w:val="2"/>
        </w:numPr>
        <w:spacing w:before="40" w:after="40"/>
      </w:pPr>
      <w:r>
        <w:rPr>
          <w:rFonts w:ascii="Arial" w:cs="Arial" w:eastAsia="Arial" w:hAnsi="Arial"/>
          <w:b w:val="false"/>
          <w:bCs w:val="false"/>
          <w:sz w:val="20"/>
          <w:szCs w:val="20"/>
        </w:rPr>
        <w:t xml:space="preserve">Permission refusée → bouton "Forcer la validation" désactivé. Seule option : "Appeler le vendeur". Aucune livraison non traçable ne peut être enregistrée</w:t>
      </w:r>
    </w:p>
    <w:p>
      <w:pPr>
        <w:spacing w:before="60" w:after="60"/>
      </w:pPr>
      <w:r>
        <w:t xml:space="preserve"/>
      </w:r>
    </w:p>
    <w:p>
      <w:pPr>
        <w:spacing w:before="180" w:after="60"/>
      </w:pPr>
      <w:r>
        <w:rPr>
          <w:rFonts w:ascii="Arial" w:cs="Arial" w:eastAsia="Arial" w:hAnsi="Arial"/>
          <w:b/>
          <w:bCs/>
          <w:color w:val="555555"/>
          <w:sz w:val="22"/>
          <w:szCs w:val="22"/>
        </w:rPr>
        <w:t xml:space="preserve">Dégradation Gracieuse (Fallback Secours)</w:t>
      </w:r>
    </w:p>
    <w:p>
      <w:pPr>
        <w:spacing w:before="60" w:after="60"/>
      </w:pPr>
      <w:r>
        <w:rPr>
          <w:rFonts w:ascii="Arial" w:cs="Arial" w:eastAsia="Arial" w:hAnsi="Arial"/>
          <w:sz w:val="20"/>
          <w:szCs w:val="20"/>
        </w:rPr>
        <w:t xml:space="preserve">Si le client est injoignable ou pressé et que la permission GPS est accordée :</w:t>
      </w:r>
    </w:p>
    <w:p>
      <w:pPr>
        <w:pStyle w:val="ListParagraph"/>
        <w:numPr>
          <w:ilvl w:val="0"/>
          <w:numId w:val="2"/>
        </w:numPr>
        <w:spacing w:before="40" w:after="40"/>
      </w:pPr>
      <w:r>
        <w:rPr>
          <w:rFonts w:ascii="Arial" w:cs="Arial" w:eastAsia="Arial" w:hAnsi="Arial"/>
          <w:b w:val="false"/>
          <w:bCs w:val="false"/>
          <w:sz w:val="20"/>
          <w:szCs w:val="20"/>
        </w:rPr>
        <w:t xml:space="preserve">Bouton "Forcer la validation" disponible</w:t>
      </w:r>
    </w:p>
    <w:p>
      <w:pPr>
        <w:pStyle w:val="ListParagraph"/>
        <w:numPr>
          <w:ilvl w:val="0"/>
          <w:numId w:val="2"/>
        </w:numPr>
        <w:spacing w:before="40" w:after="40"/>
      </w:pPr>
      <w:r>
        <w:rPr>
          <w:rFonts w:ascii="Arial" w:cs="Arial" w:eastAsia="Arial" w:hAnsi="Arial"/>
          <w:b w:val="false"/>
          <w:bCs w:val="false"/>
          <w:sz w:val="20"/>
          <w:szCs w:val="20"/>
        </w:rPr>
        <w:t xml:space="preserve">Capture silencieuse des coordonnées GPS (navigator.geolocation) et horodatage exact</w:t>
      </w:r>
    </w:p>
    <w:p>
      <w:pPr>
        <w:pStyle w:val="ListParagraph"/>
        <w:numPr>
          <w:ilvl w:val="0"/>
          <w:numId w:val="2"/>
        </w:numPr>
        <w:spacing w:before="40" w:after="40"/>
      </w:pPr>
      <w:r>
        <w:rPr>
          <w:rFonts w:ascii="Arial" w:cs="Arial" w:eastAsia="Arial" w:hAnsi="Arial"/>
          <w:b w:val="false"/>
          <w:bCs w:val="false"/>
          <w:sz w:val="20"/>
          <w:szCs w:val="20"/>
        </w:rPr>
        <w:t xml:space="preserve">Statut → DELIVERED_UNSECURED (orange — nécessite vérification manuelle)</w:t>
      </w:r>
    </w:p>
    <w:p>
      <w:pPr>
        <w:spacing w:before="60" w:after="60"/>
      </w:pPr>
      <w:r>
        <w:t xml:space="preserve"/>
      </w:r>
    </w:p>
    <w:p>
      <w:pPr>
        <w:pStyle w:val="Heading2"/>
        <w:spacing w:before="240" w:after="80"/>
      </w:pPr>
      <w:r>
        <w:rPr>
          <w:rFonts w:ascii="Arial" w:cs="Arial" w:eastAsia="Arial" w:hAnsi="Arial"/>
          <w:b/>
          <w:bCs/>
          <w:color w:val="1A3C6E"/>
          <w:sz w:val="24"/>
          <w:szCs w:val="24"/>
        </w:rPr>
        <w:t xml:space="preserve">6.2 Le Vendeur / Gestionnaire de Flotte — Dashboard Desktop/Mobile</w:t>
      </w:r>
    </w:p>
    <w:p>
      <w:pPr>
        <w:pStyle w:val="ListParagraph"/>
        <w:numPr>
          <w:ilvl w:val="0"/>
          <w:numId w:val="2"/>
        </w:numPr>
        <w:spacing w:before="40" w:after="40"/>
      </w:pPr>
      <w:r>
        <w:rPr>
          <w:rFonts w:ascii="Arial" w:cs="Arial" w:eastAsia="Arial" w:hAnsi="Arial"/>
          <w:b w:val="false"/>
          <w:bCs w:val="false"/>
          <w:sz w:val="20"/>
          <w:szCs w:val="20"/>
        </w:rPr>
        <w:t xml:space="preserve">Dispatching par lots</w:t>
      </w:r>
    </w:p>
    <w:p>
      <w:pPr>
        <w:pStyle w:val="ListParagraph"/>
        <w:numPr>
          <w:ilvl w:val="0"/>
          <w:numId w:val="2"/>
        </w:numPr>
        <w:spacing w:before="40" w:after="40"/>
      </w:pPr>
      <w:r>
        <w:rPr>
          <w:rFonts w:ascii="Arial" w:cs="Arial" w:eastAsia="Arial" w:hAnsi="Arial"/>
          <w:b w:val="false"/>
          <w:bCs w:val="false"/>
          <w:sz w:val="20"/>
          <w:szCs w:val="20"/>
        </w:rPr>
        <w:t xml:space="preserve">Dashboard Binaire de Responsabilité — gestion des conflits "He said, She said"</w:t>
      </w:r>
    </w:p>
    <w:p>
      <w:pPr>
        <w:pStyle w:val="ListParagraph"/>
        <w:numPr>
          <w:ilvl w:val="0"/>
          <w:numId w:val="2"/>
        </w:numPr>
        <w:spacing w:before="40" w:after="40"/>
      </w:pPr>
      <w:r>
        <w:rPr>
          <w:rFonts w:ascii="Arial" w:cs="Arial" w:eastAsia="Arial" w:hAnsi="Arial"/>
          <w:b w:val="false"/>
          <w:bCs w:val="false"/>
          <w:sz w:val="20"/>
          <w:szCs w:val="20"/>
        </w:rPr>
        <w:t xml:space="preserve">Indicateur Rouge : Le cash est physiquement chez le livreur (HELD_BY_DRIVER)</w:t>
      </w:r>
    </w:p>
    <w:p>
      <w:pPr>
        <w:pStyle w:val="ListParagraph"/>
        <w:numPr>
          <w:ilvl w:val="0"/>
          <w:numId w:val="2"/>
        </w:numPr>
        <w:spacing w:before="40" w:after="40"/>
      </w:pPr>
      <w:r>
        <w:rPr>
          <w:rFonts w:ascii="Arial" w:cs="Arial" w:eastAsia="Arial" w:hAnsi="Arial"/>
          <w:b w:val="false"/>
          <w:bCs w:val="false"/>
          <w:sz w:val="20"/>
          <w:szCs w:val="20"/>
        </w:rPr>
        <w:t xml:space="preserve">Indicateur Vert : Le cash a été physiquement remis et réconcilié (RECONCILED_WITH_SELLER)</w:t>
      </w:r>
    </w:p>
    <w:p>
      <w:pPr>
        <w:pStyle w:val="ListParagraph"/>
        <w:numPr>
          <w:ilvl w:val="0"/>
          <w:numId w:val="2"/>
        </w:numPr>
        <w:spacing w:before="40" w:after="40"/>
      </w:pPr>
      <w:r>
        <w:rPr>
          <w:rFonts w:ascii="Arial" w:cs="Arial" w:eastAsia="Arial" w:hAnsi="Arial"/>
          <w:b w:val="false"/>
          <w:bCs w:val="false"/>
          <w:sz w:val="20"/>
          <w:szCs w:val="20"/>
        </w:rPr>
        <w:t xml:space="preserve">Indicateur Orange : Livraison Fallback GPS — nécessite vérification manuelle (DELIVERED_UNSECURED)</w:t>
      </w:r>
    </w:p>
    <w:p>
      <w:pPr>
        <w:pStyle w:val="ListParagraph"/>
        <w:numPr>
          <w:ilvl w:val="0"/>
          <w:numId w:val="2"/>
        </w:numPr>
        <w:spacing w:before="40" w:after="40"/>
      </w:pPr>
      <w:r>
        <w:rPr>
          <w:rFonts w:ascii="Arial" w:cs="Arial" w:eastAsia="Arial" w:hAnsi="Arial"/>
          <w:b w:val="false"/>
          <w:bCs w:val="false"/>
          <w:sz w:val="20"/>
          <w:szCs w:val="20"/>
        </w:rPr>
        <w:t xml:space="preserve">Indicateur Violet : Conflit de synchronisation détecté — arbitrage manuel requis (CONFLICT)</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7. Moteur d'États — Séparation des Préoccupations</w:t>
      </w:r>
    </w:p>
    <w:p>
      <w:pPr>
        <w:spacing w:before="60" w:after="60"/>
      </w:pPr>
      <w:r>
        <w:rPr>
          <w:rFonts w:ascii="Arial" w:cs="Arial" w:eastAsia="Arial" w:hAnsi="Arial"/>
          <w:sz w:val="20"/>
          <w:szCs w:val="20"/>
        </w:rPr>
        <w:t xml:space="preserve">Le modèle de données Prisma sépare strictement le cycle de vie physique du colis du cycle de vie financier du cash collecté. Un troisième flux, le journal d'événements, assure la traçabilité complète.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gridSpan w:val="2"/>
            <w:tcBorders>
              <w:top w:val="single" w:color="CCCCCC" w:sz="1"/>
              <w:left w:val="single" w:color="CCCCCC" w:sz="1"/>
              <w:bottom w:val="single" w:color="CCCCCC" w:sz="1"/>
              <w:right w:val="single" w:color="CCCCCC" w:sz="1"/>
            </w:tcBorders>
            <w:shd w:fill="1A3C6E" w:val="clear"/>
            <w:tcMar>
              <w:top w:type="dxa" w:w="80"/>
              <w:left w:type="dxa" w:w="150"/>
              <w:bottom w:type="dxa" w:w="80"/>
              <w:right w:type="dxa" w:w="150"/>
            </w:tcMar>
          </w:tcPr>
          <w:p>
            <w:r>
              <w:rPr>
                <w:rFonts w:ascii="Arial" w:cs="Arial" w:eastAsia="Arial" w:hAnsi="Arial"/>
                <w:b/>
                <w:bCs/>
                <w:color w:val="FFFFFF"/>
                <w:sz w:val="20"/>
                <w:szCs w:val="20"/>
              </w:rPr>
              <w:t xml:space="preserve">Machine à états du Colis (Package Status)</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PENDING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 attente de ramassage</w:t>
            </w:r>
          </w:p>
        </w:tc>
      </w:tr>
      <w:tr>
        <w:tc>
          <w:tcPr>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18"/>
                <w:szCs w:val="18"/>
              </w:rPr>
              <w:t xml:space="preserve">IN_TRANSIT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Chez le livreur</w:t>
            </w:r>
          </w:p>
        </w:tc>
      </w:tr>
      <w:tr>
        <w:tc>
          <w:tcPr>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Courier New" w:cs="Courier New" w:eastAsia="Courier New" w:hAnsi="Courier New"/>
                <w:b/>
                <w:bCs/>
                <w:sz w:val="18"/>
                <w:szCs w:val="18"/>
              </w:rPr>
              <w:t xml:space="preserve">DELIVERED_VERIFIED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Livré avec PIN validé</w:t>
            </w:r>
          </w:p>
        </w:tc>
      </w:tr>
      <w:tr>
        <w:tc>
          <w:tcPr>
            <w:tcBorders>
              <w:top w:val="single" w:color="CCCCCC" w:sz="1"/>
              <w:left w:val="single" w:color="CCCCCC" w:sz="1"/>
              <w:bottom w:val="single" w:color="CCCCCC" w:sz="1"/>
              <w:right w:val="single" w:color="CCCCCC" w:sz="1"/>
            </w:tcBorders>
            <w:shd w:fill="FFE5CC" w:val="clear"/>
            <w:tcMar>
              <w:top w:type="dxa" w:w="60"/>
              <w:left w:type="dxa" w:w="120"/>
              <w:bottom w:type="dxa" w:w="60"/>
              <w:right w:type="dxa" w:w="120"/>
            </w:tcMar>
          </w:tcPr>
          <w:p>
            <w:r>
              <w:rPr>
                <w:rFonts w:ascii="Courier New" w:cs="Courier New" w:eastAsia="Courier New" w:hAnsi="Courier New"/>
                <w:b/>
                <w:bCs/>
                <w:sz w:val="18"/>
                <w:szCs w:val="18"/>
              </w:rPr>
              <w:t xml:space="preserve">DELIVERED_UNSECURED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Livré via Fallback GPS — vérification requise</w:t>
            </w:r>
          </w:p>
        </w:tc>
      </w:tr>
      <w:tr>
        <w:tc>
          <w:tcPr>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r>
              <w:rPr>
                <w:rFonts w:ascii="Courier New" w:cs="Courier New" w:eastAsia="Courier New" w:hAnsi="Courier New"/>
                <w:b/>
                <w:bCs/>
                <w:sz w:val="18"/>
                <w:szCs w:val="18"/>
              </w:rPr>
              <w:t xml:space="preserve">FAILED_RETURNED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Refusé, retourné au vendeur</w:t>
            </w:r>
          </w:p>
        </w:tc>
      </w:tr>
      <w:tr>
        <w:tc>
          <w:tcPr>
            <w:tcBorders>
              <w:top w:val="single" w:color="CCCCCC" w:sz="1"/>
              <w:left w:val="single" w:color="CCCCCC" w:sz="1"/>
              <w:bottom w:val="single" w:color="CCCCCC" w:sz="1"/>
              <w:right w:val="single" w:color="CCCCCC" w:sz="1"/>
            </w:tcBorders>
            <w:shd w:fill="E8D5F5" w:val="clear"/>
            <w:tcMar>
              <w:top w:type="dxa" w:w="60"/>
              <w:left w:type="dxa" w:w="120"/>
              <w:bottom w:type="dxa" w:w="60"/>
              <w:right w:type="dxa" w:w="120"/>
            </w:tcMar>
          </w:tcPr>
          <w:p>
            <w:r>
              <w:rPr>
                <w:rFonts w:ascii="Courier New" w:cs="Courier New" w:eastAsia="Courier New" w:hAnsi="Courier New"/>
                <w:b/>
                <w:bCs/>
                <w:sz w:val="18"/>
                <w:szCs w:val="18"/>
              </w:rPr>
              <w:t xml:space="preserve">CONFLICT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Conflit de synchronisation — arbitrage manuel requis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gridSpan w:val="2"/>
            <w:tcBorders>
              <w:top w:val="single" w:color="CCCCCC" w:sz="1"/>
              <w:left w:val="single" w:color="CCCCCC" w:sz="1"/>
              <w:bottom w:val="single" w:color="CCCCCC" w:sz="1"/>
              <w:right w:val="single" w:color="CCCCCC" w:sz="1"/>
            </w:tcBorders>
            <w:shd w:fill="1A3C6E" w:val="clear"/>
            <w:tcMar>
              <w:top w:type="dxa" w:w="80"/>
              <w:left w:type="dxa" w:w="150"/>
              <w:bottom w:type="dxa" w:w="80"/>
              <w:right w:type="dxa" w:w="150"/>
            </w:tcMar>
          </w:tcPr>
          <w:p>
            <w:r>
              <w:rPr>
                <w:rFonts w:ascii="Arial" w:cs="Arial" w:eastAsia="Arial" w:hAnsi="Arial"/>
                <w:b/>
                <w:bCs/>
                <w:color w:val="FFFFFF"/>
                <w:sz w:val="20"/>
                <w:szCs w:val="20"/>
              </w:rPr>
              <w:t xml:space="preserve">Machine à états du Cash (Cash Status)</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UNCOLLECTED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 encaissé</w:t>
            </w:r>
          </w:p>
        </w:tc>
      </w:tr>
      <w:tr>
        <w:tc>
          <w:tcPr>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18"/>
                <w:szCs w:val="18"/>
              </w:rPr>
              <w:t xml:space="preserve">HELD_BY_DRIVER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Encaissé, dans la poche du livreur</w:t>
            </w:r>
          </w:p>
        </w:tc>
      </w:tr>
      <w:tr>
        <w:tc>
          <w:tcPr>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Courier New" w:cs="Courier New" w:eastAsia="Courier New" w:hAnsi="Courier New"/>
                <w:b/>
                <w:bCs/>
                <w:sz w:val="18"/>
                <w:szCs w:val="18"/>
              </w:rPr>
              <w:t xml:space="preserve">RECONCILED_WITH_SELLER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Cash remis au vendeur — fin du cycle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gridSpan w:val="2"/>
            <w:tcBorders>
              <w:top w:val="single" w:color="CCCCCC" w:sz="1"/>
              <w:left w:val="single" w:color="CCCCCC" w:sz="1"/>
              <w:bottom w:val="single" w:color="CCCCCC" w:sz="1"/>
              <w:right w:val="single" w:color="CCCCCC" w:sz="1"/>
            </w:tcBorders>
            <w:shd w:fill="1A3C6E" w:val="clear"/>
            <w:tcMar>
              <w:top w:type="dxa" w:w="80"/>
              <w:left w:type="dxa" w:w="150"/>
              <w:bottom w:type="dxa" w:w="80"/>
              <w:right w:type="dxa" w:w="150"/>
            </w:tcMar>
          </w:tcPr>
          <w:p>
            <w:r>
              <w:rPr>
                <w:rFonts w:ascii="Arial" w:cs="Arial" w:eastAsia="Arial" w:hAnsi="Arial"/>
                <w:b/>
                <w:bCs/>
                <w:color w:val="FFFFFF"/>
                <w:sz w:val="20"/>
                <w:szCs w:val="20"/>
              </w:rPr>
              <w:t xml:space="preserve">Journal d'Événements (package_events)</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event_id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Identifiant unique de l'événement</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package_id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Référence du colis concerné</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from_status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Statut avant transition</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to_status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Statut après transition</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logical_ts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Horodatage logique Lamport Clock</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gps_lat / gps_lng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Coordonnées GPS si disponibles</w:t>
            </w:r>
          </w:p>
        </w:tc>
      </w:tr>
      <w:tr>
        <w:tc>
          <w:tcPr>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sz w:val="18"/>
                <w:szCs w:val="18"/>
              </w:rPr>
              <w:t xml:space="preserve">author_id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Identifiant de l'acteur (livreur/vendeur)</w:t>
            </w:r>
          </w:p>
        </w:tc>
      </w:tr>
    </w:tbl>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8. Sécurité — Validation PIN Hors-Ligne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b/>
                <w:bCs/>
                <w:color w:val="E67E22"/>
                <w:sz w:val="20"/>
                <w:szCs w:val="20"/>
              </w:rPr>
              <w:t xml:space="preserve">⚠️ Contrainte levée : </w:t>
            </w:r>
            <w:r>
              <w:rPr>
                <w:rFonts w:ascii="Arial" w:cs="Arial" w:eastAsia="Arial" w:hAnsi="Arial"/>
                <w:sz w:val="20"/>
                <w:szCs w:val="20"/>
              </w:rPr>
              <w:t xml:space="preserve">Un PIN changé côté serveur pendant une session offline pouvait être validé avec l'ancien code. La solution : TTL court sur le cache PIN local.</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Stockage local : uniquement le hash du PIN (bcrypt) + une date d'expiration (TTL 4 heures)</w:t>
      </w:r>
    </w:p>
    <w:p>
      <w:pPr>
        <w:pStyle w:val="ListParagraph"/>
        <w:numPr>
          <w:ilvl w:val="0"/>
          <w:numId w:val="2"/>
        </w:numPr>
        <w:spacing w:before="40" w:after="40"/>
      </w:pPr>
      <w:r>
        <w:rPr>
          <w:rFonts w:ascii="Arial" w:cs="Arial" w:eastAsia="Arial" w:hAnsi="Arial"/>
          <w:b w:val="false"/>
          <w:bCs w:val="false"/>
          <w:sz w:val="20"/>
          <w:szCs w:val="20"/>
        </w:rPr>
        <w:t xml:space="preserve">Si le TTL est expiré au moment de la validation → forcer une synchronisation</w:t>
      </w:r>
    </w:p>
    <w:p>
      <w:pPr>
        <w:pStyle w:val="ListParagraph"/>
        <w:numPr>
          <w:ilvl w:val="0"/>
          <w:numId w:val="2"/>
        </w:numPr>
        <w:spacing w:before="40" w:after="40"/>
      </w:pPr>
      <w:r>
        <w:rPr>
          <w:rFonts w:ascii="Arial" w:cs="Arial" w:eastAsia="Arial" w:hAnsi="Arial"/>
          <w:b w:val="false"/>
          <w:bCs w:val="false"/>
          <w:sz w:val="20"/>
          <w:szCs w:val="20"/>
        </w:rPr>
        <w:t xml:space="preserve">Si la synchronisation est impossible (hors-ligne) → basculer automatiquement sur le Fallback GPS avec marquage DELIVERED_UNSECURED</w:t>
      </w:r>
    </w:p>
    <w:p>
      <w:pPr>
        <w:pStyle w:val="ListParagraph"/>
        <w:numPr>
          <w:ilvl w:val="0"/>
          <w:numId w:val="2"/>
        </w:numPr>
        <w:spacing w:before="40" w:after="40"/>
      </w:pPr>
      <w:r>
        <w:rPr>
          <w:rFonts w:ascii="Arial" w:cs="Arial" w:eastAsia="Arial" w:hAnsi="Arial"/>
          <w:b w:val="false"/>
          <w:bCs w:val="false"/>
          <w:sz w:val="20"/>
          <w:szCs w:val="20"/>
        </w:rPr>
        <w:t xml:space="preserve">À la reconnexion : invalidation immédiate du cache PIN local et rechargement depuis le serveur</w:t>
      </w:r>
    </w:p>
    <w:p>
      <w:pPr>
        <w:spacing w:before="60" w:after="60"/>
      </w:pPr>
      <w:r>
        <w:t xml:space="preserve"/>
      </w:r>
    </w:p>
    <w:p>
      <w:pPr>
        <w:pStyle w:val="Heading1"/>
        <w:pBdr>
          <w:bottom w:val="single" w:color="1A3C6E" w:sz="4" w:space="6"/>
        </w:pBdr>
        <w:spacing w:before="360" w:after="120"/>
      </w:pPr>
      <w:r>
        <w:rPr>
          <w:rFonts w:ascii="Arial" w:cs="Arial" w:eastAsia="Arial" w:hAnsi="Arial"/>
          <w:b/>
          <w:bCs/>
          <w:color w:val="1A3C6E"/>
          <w:sz w:val="30"/>
          <w:szCs w:val="30"/>
        </w:rPr>
        <w:t xml:space="preserve">9. Mentions Légales &amp; Propriété Intellectuelle</w:t>
      </w:r>
    </w:p>
    <w:p>
      <w:pPr>
        <w:spacing w:before="60" w:after="60"/>
      </w:pPr>
      <w:r>
        <w:rPr>
          <w:rFonts w:ascii="Arial" w:cs="Arial" w:eastAsia="Arial" w:hAnsi="Arial"/>
          <w:sz w:val="20"/>
          <w:szCs w:val="20"/>
        </w:rPr>
        <w:t xml:space="preserve">L'ensemble des contenus, codes sources et logos de la plateforme KoliSync sont la propriété exclusive de WebappCi SARL. Toute reproduction ou exploitation sans autorisation écrite préalable est strictement interdite.</w:t>
      </w:r>
    </w:p>
    <w:p>
      <w:pPr>
        <w:spacing w:before="60" w:after="60"/>
      </w:pPr>
      <w:r>
        <w:t xml:space="preserve"/>
      </w:r>
    </w:p>
    <w:p>
      <w:pPr>
        <w:spacing w:before="60" w:after="60"/>
      </w:pPr>
      <w:r>
        <w:rPr>
          <w:rFonts w:ascii="Arial" w:cs="Arial" w:eastAsia="Arial" w:hAnsi="Arial"/>
          <w:sz w:val="20"/>
          <w:szCs w:val="20"/>
        </w:rPr>
        <w:t xml:space="preserve">Les données collectées sont traitées conformément aux normes de protection des données à caractère personnel. WebappCi SARL garantit la sécurité des informations hébergées sur une infrastructure Cloud sécurisée conforme aux standards internationaux.</w:t>
      </w:r>
    </w:p>
    <w:p>
      <w:pPr>
        <w:spacing w:before="60" w:after="60"/>
      </w:pPr>
      <w:r>
        <w:t xml:space="preserve"/>
      </w:r>
    </w:p>
    <w:p>
      <w:pPr>
        <w:spacing w:before="60" w:after="60"/>
      </w:pPr>
      <w:r>
        <w:rPr>
          <w:rFonts w:ascii="Arial" w:cs="Arial" w:eastAsia="Arial" w:hAnsi="Arial"/>
          <w:sz w:val="20"/>
          <w:szCs w:val="20"/>
        </w:rPr>
        <w:t xml:space="preserve">Droit d'accès et de suppression : contact@webappci.com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555555"/>
        <w:sz w:val="18"/>
        <w:szCs w:val="18"/>
      </w:rPr>
      <w:t xml:space="preserve">WebappCi SARL  •  Abidjan, Côte d'Ivoire  •  contact@webappci.com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6"/>
      </w:pBdr>
      <w:spacing w:after="120"/>
    </w:pPr>
    <w:r>
      <w:rPr>
        <w:rFonts w:ascii="Arial" w:cs="Arial" w:eastAsia="Arial" w:hAnsi="Arial"/>
        <w:b/>
        <w:bCs/>
        <w:color w:val="1A3C6E"/>
        <w:sz w:val="22"/>
        <w:szCs w:val="22"/>
      </w:rPr>
      <w:t xml:space="preserve">KoliSync</w:t>
    </w:r>
    <w:r>
      <w:rPr>
        <w:rFonts w:ascii="Arial" w:cs="Arial" w:eastAsia="Arial" w:hAnsi="Arial"/>
        <w:color w:val="555555"/>
        <w:sz w:val="20"/>
        <w:szCs w:val="20"/>
      </w:rPr>
      <w:t xml:space="preserve">  —  Cahier des Charges v4.0  |  WebappCi SARL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2026-03-29T00:30:50.809Z</dcterms:created>
  <dcterms:modified xsi:type="dcterms:W3CDTF">2026-03-29T00:30:50.810Z</dcterms:modified>
</cp:coreProperties>
</file>

<file path=docProps/custom.xml><?xml version="1.0" encoding="utf-8"?>
<Properties xmlns="http://schemas.openxmlformats.org/officeDocument/2006/custom-properties" xmlns:vt="http://schemas.openxmlformats.org/officeDocument/2006/docPropsVTypes"/>
</file>