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4BF" w:rsidRDefault="0074750A" w:rsidP="0074750A">
      <w:pPr>
        <w:rPr>
          <w:rFonts w:ascii="Arial" w:hAnsi="Arial" w:cs="Arial"/>
          <w:b/>
          <w:sz w:val="28"/>
          <w:lang w:val="es-CO"/>
        </w:rPr>
      </w:pPr>
      <w:r w:rsidRPr="0074750A">
        <w:rPr>
          <w:rFonts w:ascii="Arial" w:hAnsi="Arial" w:cs="Arial"/>
          <w:b/>
          <w:sz w:val="28"/>
          <w:lang w:val="es-CO"/>
        </w:rPr>
        <w:t>Actividad práctica — Redes y comunicación</w:t>
      </w:r>
      <w:r w:rsidRPr="0074750A">
        <w:rPr>
          <w:rFonts w:ascii="Arial" w:hAnsi="Arial" w:cs="Arial"/>
          <w:b/>
          <w:sz w:val="28"/>
          <w:lang w:val="es-CO"/>
        </w:rPr>
        <w:t xml:space="preserve"> </w:t>
      </w:r>
      <w:r w:rsidRPr="0074750A">
        <w:rPr>
          <w:rFonts w:ascii="Arial" w:hAnsi="Arial" w:cs="Arial"/>
          <w:b/>
          <w:sz w:val="28"/>
          <w:lang w:val="es-CO"/>
        </w:rPr>
        <w:t>entre servicios</w:t>
      </w:r>
    </w:p>
    <w:p w:rsidR="0074750A" w:rsidRDefault="0074750A" w:rsidP="0074750A">
      <w:pPr>
        <w:rPr>
          <w:rFonts w:ascii="Arial" w:hAnsi="Arial" w:cs="Arial"/>
          <w:b/>
          <w:sz w:val="28"/>
          <w:lang w:val="es-CO"/>
        </w:rPr>
      </w:pPr>
      <w:r>
        <w:rPr>
          <w:rFonts w:ascii="Arial" w:hAnsi="Arial" w:cs="Arial"/>
          <w:b/>
          <w:sz w:val="28"/>
          <w:lang w:val="es-CO"/>
        </w:rPr>
        <w:t>Juan Sebastián Agudelo Quintero</w:t>
      </w:r>
    </w:p>
    <w:p w:rsidR="0074750A" w:rsidRDefault="0074750A" w:rsidP="0074750A">
      <w:pPr>
        <w:rPr>
          <w:rFonts w:ascii="Arial" w:hAnsi="Arial" w:cs="Arial"/>
          <w:b/>
          <w:sz w:val="28"/>
          <w:lang w:val="es-CO"/>
        </w:rPr>
      </w:pPr>
    </w:p>
    <w:p w:rsidR="0074750A" w:rsidRDefault="0074750A" w:rsidP="0074750A">
      <w:pPr>
        <w:rPr>
          <w:rFonts w:ascii="Arial" w:hAnsi="Arial" w:cs="Arial"/>
          <w:b/>
          <w:sz w:val="28"/>
          <w:lang w:val="es-CO"/>
        </w:rPr>
      </w:pPr>
      <w:r>
        <w:rPr>
          <w:rFonts w:ascii="Arial" w:hAnsi="Arial" w:cs="Arial"/>
          <w:b/>
          <w:sz w:val="28"/>
          <w:lang w:val="es-CO"/>
        </w:rPr>
        <w:t>Instrucciones paso a paso</w:t>
      </w:r>
    </w:p>
    <w:p w:rsidR="0074750A" w:rsidRDefault="0074750A" w:rsidP="0074750A">
      <w:pPr>
        <w:pStyle w:val="Prrafodelista"/>
        <w:numPr>
          <w:ilvl w:val="0"/>
          <w:numId w:val="1"/>
        </w:numPr>
        <w:ind w:left="426"/>
        <w:rPr>
          <w:rFonts w:ascii="Arial" w:hAnsi="Arial" w:cs="Arial"/>
          <w:b/>
          <w:sz w:val="28"/>
          <w:lang w:val="es-CO"/>
        </w:rPr>
      </w:pPr>
      <w:r>
        <w:rPr>
          <w:rFonts w:ascii="Arial" w:hAnsi="Arial" w:cs="Arial"/>
          <w:b/>
          <w:sz w:val="28"/>
          <w:lang w:val="es-CO"/>
        </w:rPr>
        <w:t>Preparación</w:t>
      </w:r>
    </w:p>
    <w:p w:rsidR="0074750A" w:rsidRPr="0074750A" w:rsidRDefault="0074750A" w:rsidP="0074750A">
      <w:pPr>
        <w:rPr>
          <w:rFonts w:ascii="Arial" w:hAnsi="Arial" w:cs="Arial"/>
          <w:b/>
          <w:sz w:val="28"/>
          <w:lang w:val="es-CO"/>
        </w:rPr>
      </w:pPr>
      <w:r w:rsidRPr="0074750A">
        <w:rPr>
          <w:rFonts w:ascii="Arial" w:hAnsi="Arial" w:cs="Arial"/>
          <w:b/>
          <w:sz w:val="28"/>
          <w:lang w:val="es-CO"/>
        </w:rPr>
        <w:drawing>
          <wp:inline distT="0" distB="0" distL="0" distR="0" wp14:anchorId="49AC5D49" wp14:editId="08E0286B">
            <wp:extent cx="5467350" cy="290441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2876" cy="2907350"/>
                    </a:xfrm>
                    <a:prstGeom prst="rect">
                      <a:avLst/>
                    </a:prstGeom>
                  </pic:spPr>
                </pic:pic>
              </a:graphicData>
            </a:graphic>
          </wp:inline>
        </w:drawing>
      </w:r>
    </w:p>
    <w:p w:rsidR="0074750A" w:rsidRDefault="0074750A" w:rsidP="0074750A">
      <w:pPr>
        <w:rPr>
          <w:rFonts w:ascii="Arial" w:hAnsi="Arial" w:cs="Arial"/>
          <w:b/>
          <w:sz w:val="28"/>
          <w:lang w:val="es-CO"/>
        </w:rPr>
      </w:pPr>
    </w:p>
    <w:p w:rsidR="0074750A" w:rsidRDefault="0074750A" w:rsidP="0074750A">
      <w:pPr>
        <w:pStyle w:val="Prrafodelista"/>
        <w:numPr>
          <w:ilvl w:val="0"/>
          <w:numId w:val="1"/>
        </w:numPr>
        <w:ind w:left="426"/>
        <w:rPr>
          <w:rFonts w:ascii="Arial" w:hAnsi="Arial" w:cs="Arial"/>
          <w:b/>
          <w:sz w:val="28"/>
          <w:lang w:val="es-CO"/>
        </w:rPr>
      </w:pPr>
      <w:r w:rsidRPr="0074750A">
        <w:rPr>
          <w:rFonts w:ascii="Arial" w:hAnsi="Arial" w:cs="Arial"/>
          <w:b/>
          <w:sz w:val="28"/>
          <w:lang w:val="es-CO"/>
        </w:rPr>
        <w:t>Definición de servicios</w:t>
      </w:r>
    </w:p>
    <w:p w:rsidR="0074750A" w:rsidRDefault="0074750A" w:rsidP="0074750A">
      <w:pPr>
        <w:rPr>
          <w:rFonts w:ascii="Arial" w:hAnsi="Arial" w:cs="Arial"/>
          <w:b/>
          <w:sz w:val="28"/>
          <w:lang w:val="es-CO"/>
        </w:rPr>
      </w:pPr>
      <w:r w:rsidRPr="0074750A">
        <w:rPr>
          <w:rFonts w:ascii="Arial" w:hAnsi="Arial" w:cs="Arial"/>
          <w:b/>
          <w:sz w:val="28"/>
          <w:lang w:val="es-CO"/>
        </w:rPr>
        <w:drawing>
          <wp:inline distT="0" distB="0" distL="0" distR="0" wp14:anchorId="4EBC5187" wp14:editId="700880C6">
            <wp:extent cx="5612130" cy="29648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964815"/>
                    </a:xfrm>
                    <a:prstGeom prst="rect">
                      <a:avLst/>
                    </a:prstGeom>
                  </pic:spPr>
                </pic:pic>
              </a:graphicData>
            </a:graphic>
          </wp:inline>
        </w:drawing>
      </w:r>
    </w:p>
    <w:p w:rsidR="0074750A" w:rsidRDefault="0074750A" w:rsidP="0074750A">
      <w:pPr>
        <w:pStyle w:val="Prrafodelista"/>
        <w:numPr>
          <w:ilvl w:val="0"/>
          <w:numId w:val="1"/>
        </w:numPr>
        <w:ind w:left="426"/>
        <w:rPr>
          <w:rFonts w:ascii="Arial" w:hAnsi="Arial" w:cs="Arial"/>
          <w:b/>
          <w:sz w:val="28"/>
          <w:lang w:val="es-CO"/>
        </w:rPr>
      </w:pPr>
      <w:r>
        <w:rPr>
          <w:rFonts w:ascii="Arial" w:hAnsi="Arial" w:cs="Arial"/>
          <w:b/>
          <w:sz w:val="28"/>
          <w:lang w:val="es-CO"/>
        </w:rPr>
        <w:lastRenderedPageBreak/>
        <w:t>Ejecución</w:t>
      </w:r>
    </w:p>
    <w:p w:rsidR="0074750A" w:rsidRDefault="0074750A" w:rsidP="0074750A">
      <w:pPr>
        <w:ind w:left="66"/>
        <w:rPr>
          <w:rFonts w:ascii="Arial" w:hAnsi="Arial" w:cs="Arial"/>
          <w:b/>
          <w:sz w:val="28"/>
          <w:lang w:val="es-CO"/>
        </w:rPr>
      </w:pPr>
      <w:r w:rsidRPr="0074750A">
        <w:rPr>
          <w:rFonts w:ascii="Arial" w:hAnsi="Arial" w:cs="Arial"/>
          <w:b/>
          <w:sz w:val="28"/>
          <w:lang w:val="es-CO"/>
        </w:rPr>
        <w:drawing>
          <wp:inline distT="0" distB="0" distL="0" distR="0" wp14:anchorId="2804B207" wp14:editId="466A5224">
            <wp:extent cx="5612130" cy="2954655"/>
            <wp:effectExtent l="0" t="0" r="762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954655"/>
                    </a:xfrm>
                    <a:prstGeom prst="rect">
                      <a:avLst/>
                    </a:prstGeom>
                  </pic:spPr>
                </pic:pic>
              </a:graphicData>
            </a:graphic>
          </wp:inline>
        </w:drawing>
      </w:r>
    </w:p>
    <w:p w:rsidR="0074750A" w:rsidRDefault="0074750A" w:rsidP="0074750A">
      <w:pPr>
        <w:ind w:left="66"/>
        <w:rPr>
          <w:rFonts w:ascii="Arial" w:hAnsi="Arial" w:cs="Arial"/>
          <w:b/>
          <w:sz w:val="28"/>
          <w:lang w:val="es-CO"/>
        </w:rPr>
      </w:pPr>
      <w:r w:rsidRPr="0074750A">
        <w:rPr>
          <w:rFonts w:ascii="Arial" w:hAnsi="Arial" w:cs="Arial"/>
          <w:b/>
          <w:sz w:val="28"/>
          <w:lang w:val="es-CO"/>
        </w:rPr>
        <w:drawing>
          <wp:inline distT="0" distB="0" distL="0" distR="0" wp14:anchorId="2D0EF2B3" wp14:editId="64997897">
            <wp:extent cx="5612130" cy="2944495"/>
            <wp:effectExtent l="0" t="0" r="7620" b="825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944495"/>
                    </a:xfrm>
                    <a:prstGeom prst="rect">
                      <a:avLst/>
                    </a:prstGeom>
                  </pic:spPr>
                </pic:pic>
              </a:graphicData>
            </a:graphic>
          </wp:inline>
        </w:drawing>
      </w:r>
    </w:p>
    <w:p w:rsidR="0074750A" w:rsidRDefault="0074750A" w:rsidP="0074750A">
      <w:pPr>
        <w:ind w:left="66"/>
        <w:rPr>
          <w:rFonts w:ascii="Arial" w:hAnsi="Arial" w:cs="Arial"/>
          <w:b/>
          <w:sz w:val="28"/>
          <w:lang w:val="es-CO"/>
        </w:rPr>
      </w:pPr>
    </w:p>
    <w:p w:rsidR="0074750A" w:rsidRDefault="0074750A" w:rsidP="0074750A">
      <w:pPr>
        <w:ind w:left="66"/>
        <w:rPr>
          <w:rFonts w:ascii="Arial" w:hAnsi="Arial" w:cs="Arial"/>
          <w:b/>
          <w:sz w:val="28"/>
          <w:lang w:val="es-CO"/>
        </w:rPr>
      </w:pPr>
    </w:p>
    <w:p w:rsidR="0074750A" w:rsidRDefault="0074750A" w:rsidP="0074750A">
      <w:pPr>
        <w:ind w:left="66"/>
        <w:rPr>
          <w:rFonts w:ascii="Arial" w:hAnsi="Arial" w:cs="Arial"/>
          <w:b/>
          <w:sz w:val="28"/>
          <w:lang w:val="es-CO"/>
        </w:rPr>
      </w:pPr>
    </w:p>
    <w:p w:rsidR="0074750A" w:rsidRDefault="0074750A" w:rsidP="0074750A">
      <w:pPr>
        <w:ind w:left="66"/>
        <w:rPr>
          <w:rFonts w:ascii="Arial" w:hAnsi="Arial" w:cs="Arial"/>
          <w:b/>
          <w:sz w:val="28"/>
          <w:lang w:val="es-CO"/>
        </w:rPr>
      </w:pPr>
    </w:p>
    <w:p w:rsidR="0074750A" w:rsidRDefault="0074750A" w:rsidP="0074750A">
      <w:pPr>
        <w:ind w:left="66"/>
        <w:rPr>
          <w:rFonts w:ascii="Arial" w:hAnsi="Arial" w:cs="Arial"/>
          <w:b/>
          <w:sz w:val="28"/>
          <w:lang w:val="es-CO"/>
        </w:rPr>
      </w:pPr>
    </w:p>
    <w:p w:rsidR="0074750A" w:rsidRDefault="0074750A" w:rsidP="0074750A">
      <w:pPr>
        <w:pStyle w:val="Prrafodelista"/>
        <w:numPr>
          <w:ilvl w:val="0"/>
          <w:numId w:val="1"/>
        </w:numPr>
        <w:ind w:left="426"/>
        <w:rPr>
          <w:rFonts w:ascii="Arial" w:hAnsi="Arial" w:cs="Arial"/>
          <w:b/>
          <w:sz w:val="28"/>
          <w:lang w:val="es-CO"/>
        </w:rPr>
      </w:pPr>
      <w:r>
        <w:rPr>
          <w:rFonts w:ascii="Arial" w:hAnsi="Arial" w:cs="Arial"/>
          <w:b/>
          <w:sz w:val="28"/>
          <w:lang w:val="es-CO"/>
        </w:rPr>
        <w:lastRenderedPageBreak/>
        <w:t xml:space="preserve">Validación </w:t>
      </w:r>
    </w:p>
    <w:p w:rsidR="0074750A" w:rsidRDefault="0074750A" w:rsidP="0074750A">
      <w:pPr>
        <w:ind w:left="66"/>
        <w:rPr>
          <w:rFonts w:ascii="Arial" w:hAnsi="Arial" w:cs="Arial"/>
          <w:b/>
          <w:sz w:val="28"/>
          <w:lang w:val="es-CO"/>
        </w:rPr>
      </w:pPr>
      <w:r w:rsidRPr="0074750A">
        <w:rPr>
          <w:rFonts w:ascii="Arial" w:hAnsi="Arial" w:cs="Arial"/>
          <w:b/>
          <w:sz w:val="28"/>
          <w:lang w:val="es-CO"/>
        </w:rPr>
        <w:drawing>
          <wp:inline distT="0" distB="0" distL="0" distR="0" wp14:anchorId="318182C0" wp14:editId="2C926280">
            <wp:extent cx="5612130" cy="133667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1336675"/>
                    </a:xfrm>
                    <a:prstGeom prst="rect">
                      <a:avLst/>
                    </a:prstGeom>
                  </pic:spPr>
                </pic:pic>
              </a:graphicData>
            </a:graphic>
          </wp:inline>
        </w:drawing>
      </w:r>
    </w:p>
    <w:p w:rsidR="0074750A" w:rsidRDefault="0074750A" w:rsidP="0074750A">
      <w:pPr>
        <w:ind w:left="66"/>
        <w:rPr>
          <w:rFonts w:ascii="Arial" w:hAnsi="Arial" w:cs="Arial"/>
          <w:b/>
          <w:sz w:val="28"/>
          <w:lang w:val="es-CO"/>
        </w:rPr>
      </w:pPr>
    </w:p>
    <w:p w:rsidR="0074750A" w:rsidRDefault="0074750A" w:rsidP="0074750A">
      <w:pPr>
        <w:ind w:left="66"/>
        <w:rPr>
          <w:rFonts w:ascii="Arial" w:hAnsi="Arial" w:cs="Arial"/>
          <w:b/>
          <w:sz w:val="28"/>
          <w:lang w:val="es-CO"/>
        </w:rPr>
      </w:pPr>
      <w:r w:rsidRPr="0074750A">
        <w:rPr>
          <w:rFonts w:ascii="Arial" w:hAnsi="Arial" w:cs="Arial"/>
          <w:b/>
          <w:sz w:val="28"/>
          <w:lang w:val="es-CO"/>
        </w:rPr>
        <w:drawing>
          <wp:inline distT="0" distB="0" distL="0" distR="0" wp14:anchorId="398DD588" wp14:editId="4D5ED1CA">
            <wp:extent cx="5612130" cy="2950210"/>
            <wp:effectExtent l="0" t="0" r="7620" b="254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950210"/>
                    </a:xfrm>
                    <a:prstGeom prst="rect">
                      <a:avLst/>
                    </a:prstGeom>
                  </pic:spPr>
                </pic:pic>
              </a:graphicData>
            </a:graphic>
          </wp:inline>
        </w:drawing>
      </w:r>
    </w:p>
    <w:p w:rsidR="0074750A" w:rsidRDefault="0074750A" w:rsidP="0074750A">
      <w:pPr>
        <w:ind w:left="66"/>
        <w:rPr>
          <w:rFonts w:ascii="Arial" w:hAnsi="Arial" w:cs="Arial"/>
          <w:b/>
          <w:sz w:val="28"/>
          <w:lang w:val="es-CO"/>
        </w:rPr>
      </w:pPr>
    </w:p>
    <w:p w:rsidR="0074750A" w:rsidRPr="0074750A" w:rsidRDefault="0074750A" w:rsidP="0074750A">
      <w:pPr>
        <w:pStyle w:val="Prrafodelista"/>
        <w:numPr>
          <w:ilvl w:val="0"/>
          <w:numId w:val="1"/>
        </w:numPr>
        <w:ind w:left="426"/>
        <w:rPr>
          <w:rFonts w:ascii="Arial" w:hAnsi="Arial" w:cs="Arial"/>
          <w:b/>
          <w:sz w:val="28"/>
          <w:lang w:val="es-CO"/>
        </w:rPr>
      </w:pPr>
      <w:r w:rsidRPr="0074750A">
        <w:rPr>
          <w:rFonts w:ascii="Arial" w:hAnsi="Arial" w:cs="Arial"/>
          <w:b/>
          <w:sz w:val="28"/>
          <w:lang w:val="es-CO"/>
        </w:rPr>
        <w:t>Explicación de cómo se comunican los servicios</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En esta actividad pude entender mejor cómo funciona la comunicación entre contenedores cuando se utilizan redes personalizadas en Docker </w:t>
      </w:r>
      <w:proofErr w:type="spellStart"/>
      <w:r w:rsidRPr="0074750A">
        <w:rPr>
          <w:rFonts w:ascii="Arial" w:hAnsi="Arial" w:cs="Arial"/>
          <w:sz w:val="24"/>
          <w:lang w:val="es-CO"/>
        </w:rPr>
        <w:t>Compose</w:t>
      </w:r>
      <w:proofErr w:type="spellEnd"/>
      <w:r w:rsidRPr="0074750A">
        <w:rPr>
          <w:rFonts w:ascii="Arial" w:hAnsi="Arial" w:cs="Arial"/>
          <w:sz w:val="24"/>
          <w:lang w:val="es-CO"/>
        </w:rPr>
        <w:t xml:space="preserve">. Básicamente, cuando se define una red dentro del archivo </w:t>
      </w:r>
      <w:proofErr w:type="spellStart"/>
      <w:r w:rsidRPr="0074750A">
        <w:rPr>
          <w:rFonts w:ascii="Arial" w:hAnsi="Arial" w:cs="Arial"/>
          <w:sz w:val="24"/>
          <w:lang w:val="es-CO"/>
        </w:rPr>
        <w:t>docker-compose.yml</w:t>
      </w:r>
      <w:proofErr w:type="spellEnd"/>
      <w:r w:rsidRPr="0074750A">
        <w:rPr>
          <w:rFonts w:ascii="Arial" w:hAnsi="Arial" w:cs="Arial"/>
          <w:sz w:val="24"/>
          <w:lang w:val="es-CO"/>
        </w:rPr>
        <w:t>, Docker se encarga automáticamente de conectar todos los servicios que pertenecen a esa red. Esto permite que los contenedores puedan encontrarse y comunicarse entre sí de forma interna sin necesidad de exponer todos</w:t>
      </w:r>
      <w:r>
        <w:rPr>
          <w:rFonts w:ascii="Arial" w:hAnsi="Arial" w:cs="Arial"/>
          <w:sz w:val="24"/>
          <w:lang w:val="es-CO"/>
        </w:rPr>
        <w:t xml:space="preserve"> los puertos hacia el exterior.</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En este caso se configuraron dos servicios: uno llamado web, que utiliza la imagen de </w:t>
      </w:r>
      <w:proofErr w:type="spellStart"/>
      <w:r w:rsidRPr="0074750A">
        <w:rPr>
          <w:rFonts w:ascii="Arial" w:hAnsi="Arial" w:cs="Arial"/>
          <w:sz w:val="24"/>
          <w:lang w:val="es-CO"/>
        </w:rPr>
        <w:t>Nginx</w:t>
      </w:r>
      <w:proofErr w:type="spellEnd"/>
      <w:r w:rsidRPr="0074750A">
        <w:rPr>
          <w:rFonts w:ascii="Arial" w:hAnsi="Arial" w:cs="Arial"/>
          <w:sz w:val="24"/>
          <w:lang w:val="es-CO"/>
        </w:rPr>
        <w:t xml:space="preserve">, y otro llamado </w:t>
      </w:r>
      <w:proofErr w:type="spellStart"/>
      <w:r w:rsidRPr="0074750A">
        <w:rPr>
          <w:rFonts w:ascii="Arial" w:hAnsi="Arial" w:cs="Arial"/>
          <w:sz w:val="24"/>
          <w:lang w:val="es-CO"/>
        </w:rPr>
        <w:t>db</w:t>
      </w:r>
      <w:proofErr w:type="spellEnd"/>
      <w:r w:rsidRPr="0074750A">
        <w:rPr>
          <w:rFonts w:ascii="Arial" w:hAnsi="Arial" w:cs="Arial"/>
          <w:sz w:val="24"/>
          <w:lang w:val="es-CO"/>
        </w:rPr>
        <w:t xml:space="preserve">, que utiliza la imagen de </w:t>
      </w:r>
      <w:proofErr w:type="spellStart"/>
      <w:r w:rsidRPr="0074750A">
        <w:rPr>
          <w:rFonts w:ascii="Arial" w:hAnsi="Arial" w:cs="Arial"/>
          <w:sz w:val="24"/>
          <w:lang w:val="es-CO"/>
        </w:rPr>
        <w:t>PostgreSQL</w:t>
      </w:r>
      <w:proofErr w:type="spellEnd"/>
      <w:r w:rsidRPr="0074750A">
        <w:rPr>
          <w:rFonts w:ascii="Arial" w:hAnsi="Arial" w:cs="Arial"/>
          <w:sz w:val="24"/>
          <w:lang w:val="es-CO"/>
        </w:rPr>
        <w:t xml:space="preserve">. Ambos servicios fueron conectados a una red personalizada llamada </w:t>
      </w:r>
      <w:proofErr w:type="spellStart"/>
      <w:r w:rsidRPr="0074750A">
        <w:rPr>
          <w:rFonts w:ascii="Arial" w:hAnsi="Arial" w:cs="Arial"/>
          <w:sz w:val="24"/>
          <w:lang w:val="es-CO"/>
        </w:rPr>
        <w:t>appnet</w:t>
      </w:r>
      <w:proofErr w:type="spellEnd"/>
      <w:r w:rsidRPr="0074750A">
        <w:rPr>
          <w:rFonts w:ascii="Arial" w:hAnsi="Arial" w:cs="Arial"/>
          <w:sz w:val="24"/>
          <w:lang w:val="es-CO"/>
        </w:rPr>
        <w:t xml:space="preserve">. Gracias a esta configuración, Docker crea una especie de red privada donde los contenedores </w:t>
      </w:r>
      <w:r w:rsidRPr="0074750A">
        <w:rPr>
          <w:rFonts w:ascii="Arial" w:hAnsi="Arial" w:cs="Arial"/>
          <w:sz w:val="24"/>
          <w:lang w:val="es-CO"/>
        </w:rPr>
        <w:lastRenderedPageBreak/>
        <w:t>pueden verse entre ellos utilizando el nombre del servicio c</w:t>
      </w:r>
      <w:r>
        <w:rPr>
          <w:rFonts w:ascii="Arial" w:hAnsi="Arial" w:cs="Arial"/>
          <w:sz w:val="24"/>
          <w:lang w:val="es-CO"/>
        </w:rPr>
        <w:t>omo si fuera un nombre de host.</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Algo interesante que aprendí es que dentro de esta red interna los contenedores pueden resolver el nombre de los otros servicios automáticamente. Por ejemplo, el contenedor web puede referirse al contenedor de base de datos simplemente usando el nombre </w:t>
      </w:r>
      <w:proofErr w:type="spellStart"/>
      <w:r w:rsidRPr="0074750A">
        <w:rPr>
          <w:rFonts w:ascii="Arial" w:hAnsi="Arial" w:cs="Arial"/>
          <w:sz w:val="24"/>
          <w:lang w:val="es-CO"/>
        </w:rPr>
        <w:t>db</w:t>
      </w:r>
      <w:proofErr w:type="spellEnd"/>
      <w:r w:rsidRPr="0074750A">
        <w:rPr>
          <w:rFonts w:ascii="Arial" w:hAnsi="Arial" w:cs="Arial"/>
          <w:sz w:val="24"/>
          <w:lang w:val="es-CO"/>
        </w:rPr>
        <w:t>, sin necesidad de saber la dirección IP. Docker se encarga internamente de traducir ese nombre a la dirección IP correspondiente d</w:t>
      </w:r>
      <w:r>
        <w:rPr>
          <w:rFonts w:ascii="Arial" w:hAnsi="Arial" w:cs="Arial"/>
          <w:sz w:val="24"/>
          <w:lang w:val="es-CO"/>
        </w:rPr>
        <w:t>entro de la red del contenedor.</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Una analogía sencilla para entenderlo es imaginar que los contenedores están dentro de un mismo edificio de oficinas. Cada oficina tiene un nombre o un número, y si una persona quiere comunicarse con otra oficina no necesita saber exactamente dónde está ubicada físicamente dentro del edificio, solo necesita saber el nombre de la oficina. En este caso, Docker </w:t>
      </w:r>
      <w:proofErr w:type="spellStart"/>
      <w:r w:rsidRPr="0074750A">
        <w:rPr>
          <w:rFonts w:ascii="Arial" w:hAnsi="Arial" w:cs="Arial"/>
          <w:sz w:val="24"/>
          <w:lang w:val="es-CO"/>
        </w:rPr>
        <w:t>Compose</w:t>
      </w:r>
      <w:proofErr w:type="spellEnd"/>
      <w:r w:rsidRPr="0074750A">
        <w:rPr>
          <w:rFonts w:ascii="Arial" w:hAnsi="Arial" w:cs="Arial"/>
          <w:sz w:val="24"/>
          <w:lang w:val="es-CO"/>
        </w:rPr>
        <w:t xml:space="preserve"> funciona como el administrador del edificio, organizando las oficinas y permitiendo que todas puedan encontrarse fácilmente </w:t>
      </w:r>
      <w:r>
        <w:rPr>
          <w:rFonts w:ascii="Arial" w:hAnsi="Arial" w:cs="Arial"/>
          <w:sz w:val="24"/>
          <w:lang w:val="es-CO"/>
        </w:rPr>
        <w:t>dentro de la misma red interna.</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Además, esta forma de comunicación es más segura porque no es necesario exponer todos los servicios hacia el exterior. En la actividad únicamente se expuso el puerto del servicio web para poder acceder a </w:t>
      </w:r>
      <w:proofErr w:type="spellStart"/>
      <w:r w:rsidRPr="0074750A">
        <w:rPr>
          <w:rFonts w:ascii="Arial" w:hAnsi="Arial" w:cs="Arial"/>
          <w:sz w:val="24"/>
          <w:lang w:val="es-CO"/>
        </w:rPr>
        <w:t>Nginx</w:t>
      </w:r>
      <w:proofErr w:type="spellEnd"/>
      <w:r w:rsidRPr="0074750A">
        <w:rPr>
          <w:rFonts w:ascii="Arial" w:hAnsi="Arial" w:cs="Arial"/>
          <w:sz w:val="24"/>
          <w:lang w:val="es-CO"/>
        </w:rPr>
        <w:t xml:space="preserve"> desde el navegador, mientras que la base de datos permanece accesible solo dentro de la red interna. Esto es una práctica muy común en arquitecturas reales, donde las bases de datos o servicios internos no se e</w:t>
      </w:r>
      <w:r>
        <w:rPr>
          <w:rFonts w:ascii="Arial" w:hAnsi="Arial" w:cs="Arial"/>
          <w:sz w:val="24"/>
          <w:lang w:val="es-CO"/>
        </w:rPr>
        <w:t>xponen directamente a internet.</w:t>
      </w:r>
    </w:p>
    <w:p w:rsidR="0074750A" w:rsidRPr="0074750A" w:rsidRDefault="0074750A" w:rsidP="0074750A">
      <w:pPr>
        <w:rPr>
          <w:rFonts w:ascii="Arial" w:hAnsi="Arial" w:cs="Arial"/>
          <w:sz w:val="24"/>
          <w:lang w:val="es-CO"/>
        </w:rPr>
      </w:pPr>
      <w:r w:rsidRPr="0074750A">
        <w:rPr>
          <w:rFonts w:ascii="Arial" w:hAnsi="Arial" w:cs="Arial"/>
          <w:sz w:val="24"/>
          <w:lang w:val="es-CO"/>
        </w:rPr>
        <w:t xml:space="preserve">En conclusión, las redes en Docker </w:t>
      </w:r>
      <w:proofErr w:type="spellStart"/>
      <w:r w:rsidRPr="0074750A">
        <w:rPr>
          <w:rFonts w:ascii="Arial" w:hAnsi="Arial" w:cs="Arial"/>
          <w:sz w:val="24"/>
          <w:lang w:val="es-CO"/>
        </w:rPr>
        <w:t>Compose</w:t>
      </w:r>
      <w:proofErr w:type="spellEnd"/>
      <w:r w:rsidRPr="0074750A">
        <w:rPr>
          <w:rFonts w:ascii="Arial" w:hAnsi="Arial" w:cs="Arial"/>
          <w:sz w:val="24"/>
          <w:lang w:val="es-CO"/>
        </w:rPr>
        <w:t xml:space="preserve"> permiten crear entornos donde múltiples contenedores pueden comunicarse entre sí de manera organizada, utilizando nombres de servicio en lugar de direcciones IP, lo cual facilita mucho la configuración y hace que las aplicaciones sean más fáciles de desplegar y mantener.</w:t>
      </w:r>
      <w:bookmarkStart w:id="0" w:name="_GoBack"/>
      <w:bookmarkEnd w:id="0"/>
    </w:p>
    <w:p w:rsidR="0074750A" w:rsidRPr="0074750A" w:rsidRDefault="0074750A" w:rsidP="0074750A">
      <w:pPr>
        <w:rPr>
          <w:rFonts w:ascii="Arial" w:hAnsi="Arial" w:cs="Arial"/>
          <w:b/>
          <w:sz w:val="28"/>
          <w:lang w:val="es-CO"/>
        </w:rPr>
      </w:pPr>
    </w:p>
    <w:sectPr w:rsidR="0074750A" w:rsidRPr="007475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4B23E8"/>
    <w:multiLevelType w:val="hybridMultilevel"/>
    <w:tmpl w:val="A5646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750A"/>
    <w:rsid w:val="002D0F78"/>
    <w:rsid w:val="0074750A"/>
    <w:rsid w:val="00DF1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24507"/>
  <w15:chartTrackingRefBased/>
  <w15:docId w15:val="{7B978CD5-D291-483D-B2F5-95BE0130A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475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SISTEMAS</dc:creator>
  <cp:keywords/>
  <dc:description/>
  <cp:lastModifiedBy>SISTEMAS</cp:lastModifiedBy>
  <cp:revision>1</cp:revision>
  <dcterms:created xsi:type="dcterms:W3CDTF">2026-04-21T21:07:00Z</dcterms:created>
  <dcterms:modified xsi:type="dcterms:W3CDTF">2026-04-21T21:16:00Z</dcterms:modified>
</cp:coreProperties>
</file>