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rvkz93mmvxp" w:id="0"/>
      <w:bookmarkEnd w:id="0"/>
      <w:r w:rsidDel="00000000" w:rsidR="00000000" w:rsidRPr="00000000">
        <w:rPr>
          <w:rtl w:val="0"/>
        </w:rPr>
        <w:t xml:space="preserve">author: "Todd" date: 2017-01-08 id: 61 slug: "training" title: "training" type: "page"</w:t>
      </w:r>
    </w:p>
    <w:p w:rsidR="00000000" w:rsidDel="00000000" w:rsidP="00000000" w:rsidRDefault="00000000" w:rsidRPr="00000000" w14:paraId="00000003">
      <w:pPr>
        <w:rPr/>
      </w:pPr>
      <w:r w:rsidDel="00000000" w:rsidR="00000000" w:rsidRPr="00000000">
        <w:rPr>
          <w:rtl w:val="0"/>
        </w:rPr>
        <w:t xml:space="preserve">In order to strengthen wide-ranging efforts (networks and projects) at the intersection of arts and culture, social justice and human rights, ArtistSafety.net provides modular training programs to identify and mobilize resources, and prepare art spaces and community organizations to host individuals and communities-at-risk.</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