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 w:rsidRPr="008F7894">
        <w:rPr>
          <w:rFonts w:ascii="Arial" w:hAnsi="Arial" w:cs="Arial"/>
          <w:b/>
          <w:sz w:val="24"/>
          <w:szCs w:val="24"/>
        </w:rPr>
        <w:t>Arduino C 1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¿Qué tamaño tiene el tipo de dato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? Compare el tipo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con el tipo </w:t>
      </w:r>
      <w:proofErr w:type="spellStart"/>
      <w:r w:rsidRPr="008F7894">
        <w:rPr>
          <w:rFonts w:ascii="Arial" w:hAnsi="Arial" w:cs="Arial"/>
          <w:sz w:val="24"/>
          <w:szCs w:val="24"/>
        </w:rPr>
        <w:t>float</w:t>
      </w:r>
      <w:proofErr w:type="spellEnd"/>
      <w:r w:rsidRPr="008F7894">
        <w:rPr>
          <w:rFonts w:ascii="Arial" w:hAnsi="Arial" w:cs="Arial"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8F7894" w:rsidRDefault="008F7894" w:rsidP="008F7894">
      <w:pPr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Explore algunas de las bibliotecas estándar de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Ejemplo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866078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lastRenderedPageBreak/>
        <w:t xml:space="preserve">¿Cuál es la estructura de un programa para un </w:t>
      </w:r>
      <w:proofErr w:type="spellStart"/>
      <w:r w:rsidRPr="00866078">
        <w:rPr>
          <w:rFonts w:ascii="Arial" w:hAnsi="Arial" w:cs="Arial"/>
          <w:sz w:val="24"/>
          <w:szCs w:val="24"/>
        </w:rPr>
        <w:t>Arduino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36116C" w:rsidRDefault="0036116C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Estructura </w:t>
      </w:r>
    </w:p>
    <w:p w:rsidR="0013596B" w:rsidRDefault="0013596B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866078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¿Cuál es la función de cada una de las partes de la estructura de un programa en </w:t>
      </w:r>
      <w:proofErr w:type="spellStart"/>
      <w:r w:rsidRPr="00866078">
        <w:rPr>
          <w:rFonts w:ascii="Arial" w:hAnsi="Arial" w:cs="Arial"/>
          <w:sz w:val="24"/>
          <w:szCs w:val="24"/>
        </w:rPr>
        <w:t>Arduino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36116C" w:rsidRDefault="0036116C" w:rsidP="0036116C">
      <w:pPr>
        <w:jc w:val="both"/>
        <w:rPr>
          <w:rFonts w:ascii="Arial" w:hAnsi="Arial" w:cs="Arial"/>
          <w:sz w:val="24"/>
          <w:szCs w:val="24"/>
        </w:rPr>
      </w:pPr>
    </w:p>
    <w:p w:rsidR="0036116C" w:rsidRDefault="00CA7BEA" w:rsidP="0036116C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sajdhkajsdhjkahsdkjhasd</w:t>
      </w:r>
      <w:proofErr w:type="spellEnd"/>
      <w:proofErr w:type="gramEnd"/>
    </w:p>
    <w:p w:rsidR="0036116C" w:rsidRDefault="00522A1E" w:rsidP="0036116C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sadasdasdasdasd</w:t>
      </w:r>
      <w:proofErr w:type="spellEnd"/>
      <w:proofErr w:type="gramEnd"/>
    </w:p>
    <w:p w:rsidR="00522A1E" w:rsidRDefault="00522A1E" w:rsidP="003611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asdasdasd</w:t>
      </w:r>
      <w:bookmarkStart w:id="0" w:name="_GoBack"/>
      <w:bookmarkEnd w:id="0"/>
    </w:p>
    <w:p w:rsidR="0036116C" w:rsidRPr="0036116C" w:rsidRDefault="0036116C" w:rsidP="0036116C">
      <w:pPr>
        <w:jc w:val="both"/>
        <w:rPr>
          <w:rFonts w:ascii="Arial" w:hAnsi="Arial" w:cs="Arial"/>
          <w:sz w:val="24"/>
          <w:szCs w:val="24"/>
        </w:rPr>
      </w:pPr>
    </w:p>
    <w:p w:rsidR="0036116C" w:rsidRDefault="0036116C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Pr="00866078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66078" w:rsidRPr="00866078">
        <w:rPr>
          <w:rFonts w:ascii="Arial" w:hAnsi="Arial" w:cs="Arial"/>
          <w:sz w:val="24"/>
          <w:szCs w:val="24"/>
        </w:rPr>
        <w:t>ocalice el archivo main.cpp en el directorio donde descomprimió el archivo .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zip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descargado de la página del proyecto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Arduino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. No dude en revisar cada directorio. La función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main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en un programa en C es el punto de entrada del programa. </w:t>
      </w:r>
    </w:p>
    <w:p w:rsidR="00866078" w:rsidRP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P5a.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setup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866078" w:rsidRP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P5b.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loop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866078" w:rsidRPr="006852D1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>P5c. ¿Cuál es la ruta del archivo main.cpp en el sistema de archivos?</w:t>
      </w:r>
    </w:p>
    <w:sectPr w:rsidR="00866078" w:rsidRPr="00685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F3539"/>
    <w:multiLevelType w:val="multilevel"/>
    <w:tmpl w:val="FC84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13596B"/>
    <w:rsid w:val="00211C67"/>
    <w:rsid w:val="002179F6"/>
    <w:rsid w:val="0036116C"/>
    <w:rsid w:val="00522A1E"/>
    <w:rsid w:val="006852D1"/>
    <w:rsid w:val="00866078"/>
    <w:rsid w:val="008F7894"/>
    <w:rsid w:val="00CA7BEA"/>
    <w:rsid w:val="00EA428B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duino.cc/en/Tutorial/DigitalPotentiome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13</cp:revision>
  <dcterms:created xsi:type="dcterms:W3CDTF">2015-08-05T19:42:00Z</dcterms:created>
  <dcterms:modified xsi:type="dcterms:W3CDTF">2015-08-05T20:20:00Z</dcterms:modified>
</cp:coreProperties>
</file>