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left"/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1. Fecha</w:t>
      </w:r>
    </w:p>
    <w:p w:rsidR="00000000" w:rsidDel="00000000" w:rsidP="00000000" w:rsidRDefault="00000000" w:rsidRPr="00000000" w14:paraId="00000004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04/11/2024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exend Deca" w:cs="Lexend Deca" w:eastAsia="Lexend Deca" w:hAnsi="Lexend Deca"/>
          <w:color w:val="0068b1"/>
          <w:sz w:val="32"/>
          <w:szCs w:val="32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2. Indica los datos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La reunión se organizó virtualmente de 19:00 hasta 20:30 Hrs. El objetivo es mostrar al cliente la construcción actual de la aplicación y su interfaz visual para obtener su retroalimentación sobre el diseño y la usabilidad.</w:t>
      </w:r>
    </w:p>
    <w:p w:rsidR="00000000" w:rsidDel="00000000" w:rsidP="00000000" w:rsidRDefault="00000000" w:rsidRPr="00000000" w14:paraId="0000000A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Deca" w:cs="Lexend Deca" w:eastAsia="Lexend Deca" w:hAnsi="Lexend Deca"/>
          <w:color w:val="0068b1"/>
          <w:sz w:val="32"/>
          <w:szCs w:val="32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3. Señala los temas de la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Los temas a tratar de nuestra agenda son:</w:t>
      </w:r>
    </w:p>
    <w:p w:rsidR="00000000" w:rsidDel="00000000" w:rsidP="00000000" w:rsidRDefault="00000000" w:rsidRPr="00000000" w14:paraId="0000000E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1. Implementación ambiente de desarrollo </w:t>
      </w:r>
    </w:p>
    <w:p w:rsidR="00000000" w:rsidDel="00000000" w:rsidP="00000000" w:rsidRDefault="00000000" w:rsidRPr="00000000" w14:paraId="0000000F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2. Base de datos</w:t>
      </w:r>
    </w:p>
    <w:p w:rsidR="00000000" w:rsidDel="00000000" w:rsidP="00000000" w:rsidRDefault="00000000" w:rsidRPr="00000000" w14:paraId="00000010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3. Programación</w:t>
      </w:r>
    </w:p>
    <w:p w:rsidR="00000000" w:rsidDel="00000000" w:rsidP="00000000" w:rsidRDefault="00000000" w:rsidRPr="00000000" w14:paraId="00000011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4. Espacio para las acciones futuras</w:t>
      </w:r>
    </w:p>
    <w:p w:rsidR="00000000" w:rsidDel="00000000" w:rsidP="00000000" w:rsidRDefault="00000000" w:rsidRPr="00000000" w14:paraId="00000014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En este espacio deberás escribir las conclusiones o acuerdos que se pactaron en la reunión. Esta sección es una de las más importantes, pues es el registro que permitirá medir los avances y efectividad de las acciones presentadas a la junta de miembros.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5. Registra a los miembros convocados</w:t>
      </w:r>
    </w:p>
    <w:p w:rsidR="00000000" w:rsidDel="00000000" w:rsidP="00000000" w:rsidRDefault="00000000" w:rsidRPr="00000000" w14:paraId="00000021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rtl w:val="0"/>
              </w:rPr>
              <w:t xml:space="preserve">Equipo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highlight w:val="white"/>
                <w:rtl w:val="0"/>
              </w:rPr>
              <w:t xml:space="preserve">Polleth Aguilera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highlight w:val="white"/>
                <w:rtl w:val="0"/>
              </w:rPr>
              <w:t xml:space="preserve">Israel Rojas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highlight w:val="white"/>
                <w:rtl w:val="0"/>
              </w:rPr>
              <w:t xml:space="preserve">Joaquín Cárcamo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highlight w:val="white"/>
                <w:rtl w:val="0"/>
              </w:rPr>
              <w:t xml:space="preserve">Alejandra Pavez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highlight w:val="white"/>
                <w:rtl w:val="0"/>
              </w:rPr>
              <w:t xml:space="preserve">Sebastián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6. Documenta quién realizó la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highlight w:val="white"/>
          <w:rtl w:val="0"/>
        </w:rPr>
        <w:t xml:space="preserve">Sebastián Vega, Programador de RomulusAssociation.</w:t>
      </w:r>
    </w:p>
    <w:p w:rsidR="00000000" w:rsidDel="00000000" w:rsidP="00000000" w:rsidRDefault="00000000" w:rsidRPr="00000000" w14:paraId="0000002F">
      <w:pPr>
        <w:rPr>
          <w:rFonts w:ascii="Lexend Deca" w:cs="Lexend Deca" w:eastAsia="Lexend Deca" w:hAnsi="Lexend Deca"/>
          <w:color w:val="1927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 Deca" w:cs="Lexend Deca" w:eastAsia="Lexend Deca" w:hAnsi="Lexend Deca"/>
          <w:color w:val="ff5c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 Deca" w:cs="Lexend Deca" w:eastAsia="Lexend Deca" w:hAnsi="Lexend Deca"/>
          <w:color w:val="192733"/>
          <w:sz w:val="24"/>
          <w:szCs w:val="24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ff5c35"/>
          <w:sz w:val="32"/>
          <w:szCs w:val="32"/>
          <w:highlight w:val="white"/>
          <w:rtl w:val="0"/>
        </w:rPr>
        <w:t xml:space="preserve">Plantilla de minuta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7691ad"/>
          <w:sz w:val="20"/>
          <w:szCs w:val="20"/>
          <w:highlight w:val="white"/>
          <w:rtl w:val="0"/>
        </w:rPr>
        <w:t xml:space="preserve">[Santiago, 04/11/2024]</w:t>
      </w:r>
    </w:p>
    <w:p w:rsidR="00000000" w:rsidDel="00000000" w:rsidP="00000000" w:rsidRDefault="00000000" w:rsidRPr="00000000" w14:paraId="00000041">
      <w:pPr>
        <w:jc w:val="right"/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Objetivo de la reunión: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Mostrar al cliente la construcción actual de la aplicación y su interfaz visual para obtener su retroalimentación sobre el diseño y la usabilidad.</w:t>
            </w:r>
          </w:p>
        </w:tc>
      </w:tr>
      <w:tr>
        <w:trPr>
          <w:cantSplit w:val="0"/>
          <w:tblHeader w:val="0"/>
        </w:trPr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Lugar de la reunión (presencial o virtual):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Santiago, Lo espejo. (Virtual)</w:t>
            </w:r>
          </w:p>
        </w:tc>
      </w:tr>
      <w:tr>
        <w:trPr>
          <w:cantSplit w:val="0"/>
          <w:tblHeader w:val="0"/>
        </w:trPr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Horario de la reunión: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17:30 - 19:00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  <w:rtl w:val="0"/>
        </w:rPr>
        <w:t xml:space="preserve">Agenda</w:t>
      </w:r>
    </w:p>
    <w:p w:rsidR="00000000" w:rsidDel="00000000" w:rsidP="00000000" w:rsidRDefault="00000000" w:rsidRPr="00000000" w14:paraId="0000004A">
      <w:pPr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1. Implementación ambiente de desarrollo 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2. Base de datos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3. Programación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  <w:rtl w:val="0"/>
        </w:rPr>
        <w:t xml:space="preserve">Acuerdos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No se estableció ningún acuerdo, al cliente le pareció perfecto.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 Deca" w:cs="Lexend Deca" w:eastAsia="Lexend Deca" w:hAnsi="Lexend Deca"/>
          <w:color w:val="7691a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192733"/>
          <w:sz w:val="26"/>
          <w:szCs w:val="26"/>
          <w:highlight w:val="white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120"/>
        <w:gridCol w:w="1200"/>
        <w:gridCol w:w="3135"/>
        <w:gridCol w:w="1335"/>
        <w:tblGridChange w:id="0">
          <w:tblGrid>
            <w:gridCol w:w="555"/>
            <w:gridCol w:w="3120"/>
            <w:gridCol w:w="1200"/>
            <w:gridCol w:w="313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Cargo </w:t>
            </w:r>
          </w:p>
        </w:tc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shd w:fill="ff5c3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b w:val="1"/>
                <w:color w:val="192733"/>
                <w:sz w:val="20"/>
                <w:szCs w:val="20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Israel Rojas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+569 89204270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Alejandra Pavez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+569 89201289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Polleth Aguilera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Joaquín Cárcamo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Sebastián Vega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+569 76404290</w:t>
            </w:r>
          </w:p>
        </w:tc>
        <w:tc>
          <w:tcPr>
            <w:shd w:fill="fcea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  <w:color w:val="192733"/>
                <w:sz w:val="20"/>
                <w:szCs w:val="20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color w:val="192733"/>
                <w:sz w:val="20"/>
                <w:szCs w:val="20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 Deca" w:cs="Lexend Deca" w:eastAsia="Lexend Deca" w:hAnsi="Lexend Deca"/>
          <w:color w:val="192733"/>
          <w:sz w:val="20"/>
          <w:szCs w:val="20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92733"/>
          <w:sz w:val="20"/>
          <w:szCs w:val="20"/>
          <w:highlight w:val="white"/>
          <w:rtl w:val="0"/>
        </w:rPr>
        <w:t xml:space="preserve">Elaboró: </w:t>
      </w:r>
      <w:r w:rsidDel="00000000" w:rsidR="00000000" w:rsidRPr="00000000">
        <w:rPr>
          <w:rFonts w:ascii="Lexend Deca" w:cs="Lexend Deca" w:eastAsia="Lexend Deca" w:hAnsi="Lexend Deca"/>
          <w:color w:val="7691ad"/>
          <w:sz w:val="20"/>
          <w:szCs w:val="20"/>
          <w:highlight w:val="white"/>
          <w:rtl w:val="0"/>
        </w:rPr>
        <w:t xml:space="preserve">Sebastián Vega, Programador, </w:t>
      </w:r>
      <w:hyperlink r:id="rId6">
        <w:r w:rsidDel="00000000" w:rsidR="00000000" w:rsidRPr="00000000">
          <w:rPr>
            <w:rFonts w:ascii="Lexend Deca" w:cs="Lexend Deca" w:eastAsia="Lexend Deca" w:hAnsi="Lexend Deca"/>
            <w:color w:val="1155cc"/>
            <w:sz w:val="20"/>
            <w:szCs w:val="20"/>
            <w:highlight w:val="white"/>
            <w:u w:val="single"/>
            <w:rtl w:val="0"/>
          </w:rPr>
          <w:t xml:space="preserve">sebavegap.12@gmail.com</w:t>
        </w:r>
      </w:hyperlink>
      <w:r w:rsidDel="00000000" w:rsidR="00000000" w:rsidRPr="00000000">
        <w:rPr>
          <w:rFonts w:ascii="Lexend Deca" w:cs="Lexend Deca" w:eastAsia="Lexend Deca" w:hAnsi="Lexend Deca"/>
          <w:color w:val="7691ad"/>
          <w:sz w:val="20"/>
          <w:szCs w:val="20"/>
          <w:highlight w:val="white"/>
          <w:rtl w:val="0"/>
        </w:rPr>
        <w:t xml:space="preserve"> / 9 764204290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right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bavegap.12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