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bottom w:color="000000" w:space="0" w:sz="4" w:val="single"/>
            </w:tcBorders>
          </w:tcPr>
          <w:p w:rsidR="00000000" w:rsidDel="00000000" w:rsidP="00000000" w:rsidRDefault="00000000" w:rsidRPr="00000000" w14:paraId="0000000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Transporte Guillermo Varas</w:t>
            </w:r>
          </w:p>
          <w:p w:rsidR="00000000" w:rsidDel="00000000" w:rsidP="00000000" w:rsidRDefault="00000000" w:rsidRPr="00000000" w14:paraId="00000009">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A">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tcBorders>
              <w:top w:color="000000" w:space="0" w:sz="4" w:val="single"/>
              <w:bottom w:color="000000" w:space="0" w:sz="4" w:val="single"/>
            </w:tcBorders>
          </w:tcPr>
          <w:p w:rsidR="00000000" w:rsidDel="00000000" w:rsidP="00000000" w:rsidRDefault="00000000" w:rsidRPr="00000000" w14:paraId="0000000B">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RutaGest</w:t>
            </w:r>
          </w:p>
        </w:tc>
      </w:tr>
    </w:tbl>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E">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bottom w:color="000000" w:space="0" w:sz="4" w:val="single"/>
            </w:tcBorders>
          </w:tcPr>
          <w:p w:rsidR="00000000" w:rsidDel="00000000" w:rsidP="00000000" w:rsidRDefault="00000000" w:rsidRPr="00000000" w14:paraId="0000001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Valparaíso</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1">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tcBorders>
              <w:top w:color="000000" w:space="0" w:sz="4" w:val="single"/>
              <w:bottom w:color="000000" w:space="0" w:sz="4" w:val="single"/>
            </w:tcBorders>
          </w:tcPr>
          <w:p w:rsidR="00000000" w:rsidDel="00000000" w:rsidP="00000000" w:rsidRDefault="00000000" w:rsidRPr="00000000" w14:paraId="0000001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16/09/2026</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3">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tcBorders>
              <w:top w:color="000000" w:space="0" w:sz="4" w:val="single"/>
              <w:bottom w:color="000000" w:space="0" w:sz="4" w:val="single"/>
            </w:tcBorders>
          </w:tcPr>
          <w:p w:rsidR="00000000" w:rsidDel="00000000" w:rsidP="00000000" w:rsidRDefault="00000000" w:rsidRPr="00000000" w14:paraId="0000001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Sprint 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5">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tcBorders>
              <w:top w:color="000000" w:space="0" w:sz="4" w:val="single"/>
              <w:bottom w:color="000000" w:space="0" w:sz="4" w:val="single"/>
            </w:tcBorders>
          </w:tcPr>
          <w:p w:rsidR="00000000" w:rsidDel="00000000" w:rsidP="00000000" w:rsidRDefault="00000000" w:rsidRPr="00000000" w14:paraId="0000001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1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19">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D">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tcBorders>
              <w:top w:color="000000" w:space="0" w:sz="4" w:val="single"/>
              <w:bottom w:color="000000" w:space="0" w:sz="4" w:val="single"/>
            </w:tcBorders>
          </w:tcPr>
          <w:p w:rsidR="00000000" w:rsidDel="00000000" w:rsidP="00000000" w:rsidRDefault="00000000" w:rsidRPr="00000000" w14:paraId="0000001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2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21">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7">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29">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B">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r w:rsidDel="00000000" w:rsidR="00000000" w:rsidRPr="00000000">
        <w:rPr>
          <w:rtl w:val="0"/>
        </w:rPr>
      </w:r>
    </w:p>
    <w:p w:rsidR="00000000" w:rsidDel="00000000" w:rsidP="00000000" w:rsidRDefault="00000000" w:rsidRPr="00000000" w14:paraId="0000002D">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E">
      <w:pPr>
        <w:spacing w:after="0" w:before="0" w:line="240" w:lineRule="auto"/>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rtl w:val="0"/>
        </w:rPr>
        <w:t xml:space="preserve">La reunión usualmente se restringe a </w:t>
      </w:r>
      <w:r w:rsidDel="00000000" w:rsidR="00000000" w:rsidRPr="00000000">
        <w:rPr>
          <w:rFonts w:ascii="Arial" w:cs="Arial" w:eastAsia="Arial" w:hAnsi="Arial"/>
          <w:sz w:val="20"/>
          <w:szCs w:val="20"/>
          <w:rtl w:val="0"/>
        </w:rPr>
        <w:t xml:space="preserve">dos</w:t>
      </w:r>
      <w:r w:rsidDel="00000000" w:rsidR="00000000" w:rsidRPr="00000000">
        <w:rPr>
          <w:rFonts w:ascii="Arial" w:cs="Arial" w:eastAsia="Arial" w:hAnsi="Arial"/>
          <w:color w:val="000000"/>
          <w:sz w:val="20"/>
          <w:szCs w:val="20"/>
          <w:rtl w:val="0"/>
        </w:rPr>
        <w:t xml:space="preserve">horas.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Ind w:w="-6.999999999999993" w:type="dxa"/>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bottom w:color="000000" w:space="0" w:sz="4" w:val="single"/>
            </w:tcBorders>
            <w:shd w:fill="d9d9d9"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bottom w:color="000000" w:space="0" w:sz="4" w:val="single"/>
            </w:tcBorders>
            <w:shd w:fill="d9d9d9"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bottom w:color="000000" w:space="0" w:sz="4" w:val="single"/>
            </w:tcBorders>
            <w:shd w:fill="d9d9d9"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5">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completó el desarrollo del módulo de gestión de vehículos (diseño, base de datos, API y aplicación móvil) y se integró correctamente con la aplicación Ionic + Angular.</w:t>
            </w:r>
          </w:p>
          <w:p w:rsidR="00000000" w:rsidDel="00000000" w:rsidP="00000000" w:rsidRDefault="00000000" w:rsidRPr="00000000" w14:paraId="00000036">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logró desplegar y estabilizar la API en Render, resolviendo los problemas iniciales de despliegue y disponibilidad.</w:t>
            </w:r>
          </w:p>
          <w:p w:rsidR="00000000" w:rsidDel="00000000" w:rsidP="00000000" w:rsidRDefault="00000000" w:rsidRPr="00000000" w14:paraId="00000037">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El uso del Impediment Log permitió identificar, registrar y resolver oportunamente los problemas técnicos, evitando bloqueos prolongados en el desarrollo.</w:t>
            </w:r>
          </w:p>
        </w:tc>
        <w:tc>
          <w:tcPr>
            <w:tcBorders>
              <w:top w:color="000000" w:space="0" w:sz="4" w:val="single"/>
              <w:bottom w:color="000000" w:space="0" w:sz="4" w:val="single"/>
            </w:tcBorders>
          </w:tcPr>
          <w:p w:rsidR="00000000" w:rsidDel="00000000" w:rsidP="00000000" w:rsidRDefault="00000000" w:rsidRPr="00000000" w14:paraId="00000038">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La API funcionaba correctamente en el entorno local, pero presentó errores al desplegarla en Render (I-01).</w:t>
            </w:r>
          </w:p>
          <w:p w:rsidR="00000000" w:rsidDel="00000000" w:rsidP="00000000" w:rsidRDefault="00000000" w:rsidRPr="00000000" w14:paraId="00000039">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Los vehículos no se mostraban de inmediato al abrir la aplicación después de un período de inactividad, debido a las limitaciones del plan gratuito de Render (I-02, I-04).</w:t>
            </w:r>
          </w:p>
          <w:p w:rsidR="00000000" w:rsidDel="00000000" w:rsidP="00000000" w:rsidRDefault="00000000" w:rsidRPr="00000000" w14:paraId="0000003A">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presentaron errores durante las pruebas de integración entre la aplicación móvil y la API, relacionados con solicitudes HTTP y rutas mal configuradas (I-06).</w:t>
            </w:r>
          </w:p>
        </w:tc>
        <w:tc>
          <w:tcPr>
            <w:tcBorders>
              <w:top w:color="000000" w:space="0" w:sz="4" w:val="single"/>
              <w:bottom w:color="000000" w:space="0" w:sz="4" w:val="single"/>
            </w:tcBorders>
          </w:tcPr>
          <w:p w:rsidR="00000000" w:rsidDel="00000000" w:rsidP="00000000" w:rsidRDefault="00000000" w:rsidRPr="00000000" w14:paraId="0000003B">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Mantener el servicio de solicitudes periódicas ("ping") para conservar la API activa y reducir los tiempos de espera en producción.</w:t>
            </w:r>
          </w:p>
          <w:p w:rsidR="00000000" w:rsidDel="00000000" w:rsidP="00000000" w:rsidRDefault="00000000" w:rsidRPr="00000000" w14:paraId="0000003C">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Revisar y documentar con mayor detalle las rutas y servicios de la API antes de iniciar la integración con la aplicación móvil, para reducir errores en los próximos Sprints.</w:t>
            </w:r>
          </w:p>
          <w:p w:rsidR="00000000" w:rsidDel="00000000" w:rsidP="00000000" w:rsidRDefault="00000000" w:rsidRPr="00000000" w14:paraId="0000003D">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Evaluar alternativas de hosting o un plan pagado si las limitaciones de Render continúan afectando la disponibilidad del sistema.</w:t>
            </w:r>
          </w:p>
          <w:p w:rsidR="00000000" w:rsidDel="00000000" w:rsidP="00000000" w:rsidRDefault="00000000" w:rsidRPr="00000000" w14:paraId="0000003E">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Continuar utilizando el Impediment Log desde el inicio de cada Sprint como práctica habitual de seguimiento.</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0" w:before="0" w:line="240" w:lineRule="auto"/>
        <w:ind w:left="720" w:firstLine="0"/>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start="720" w:end="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KeT1qfeF4eFATs7CZmYmhLQWg==">CgMxLjA4AHIhMVBXQlVwel9sclJHSkQ2M2tDcVdHMkNBZVlkX1A2TVBH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