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Resumen de la </w:t>
      </w:r>
    </w:p>
    <w:p w:rsidR="00000000" w:rsidDel="00000000" w:rsidP="00000000" w:rsidRDefault="00000000" w:rsidRPr="00000000" w14:paraId="00000002">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Reunión Retrospectiva</w:t>
      </w:r>
    </w:p>
    <w:p w:rsidR="00000000" w:rsidDel="00000000" w:rsidP="00000000" w:rsidRDefault="00000000" w:rsidRPr="00000000" w14:paraId="00000003">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4">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5">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empresa y proyecto:</w:t>
      </w:r>
    </w:p>
    <w:p w:rsidR="00000000" w:rsidDel="00000000" w:rsidP="00000000" w:rsidRDefault="00000000" w:rsidRPr="00000000" w14:paraId="00000006">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1"/>
        <w:tblW w:w="8870.0" w:type="dxa"/>
        <w:jc w:val="left"/>
        <w:tblInd w:w="-6.999999999999993" w:type="dxa"/>
        <w:tblLayout w:type="fixed"/>
        <w:tblLook w:val="0000"/>
      </w:tblPr>
      <w:tblGrid>
        <w:gridCol w:w="2835"/>
        <w:gridCol w:w="6035"/>
        <w:tblGridChange w:id="0">
          <w:tblGrid>
            <w:gridCol w:w="2835"/>
            <w:gridCol w:w="6035"/>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7">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Empresa / Organización</w:t>
            </w:r>
          </w:p>
        </w:tc>
        <w:tc>
          <w:tcPr>
            <w:tcBorders>
              <w:top w:color="000000" w:space="0" w:sz="4" w:val="single"/>
              <w:bottom w:color="000000" w:space="0" w:sz="4" w:val="single"/>
            </w:tcBorders>
          </w:tcPr>
          <w:p w:rsidR="00000000" w:rsidDel="00000000" w:rsidP="00000000" w:rsidRDefault="00000000" w:rsidRPr="00000000" w14:paraId="0000000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Transporte Guillermo Varas</w:t>
            </w:r>
          </w:p>
          <w:p w:rsidR="00000000" w:rsidDel="00000000" w:rsidP="00000000" w:rsidRDefault="00000000" w:rsidRPr="00000000" w14:paraId="00000009">
            <w:pPr>
              <w:spacing w:after="0" w:before="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A">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Proyecto</w:t>
            </w:r>
          </w:p>
        </w:tc>
        <w:tc>
          <w:tcPr>
            <w:tcBorders>
              <w:top w:color="000000" w:space="0" w:sz="4" w:val="single"/>
              <w:bottom w:color="000000" w:space="0" w:sz="4" w:val="single"/>
            </w:tcBorders>
          </w:tcPr>
          <w:p w:rsidR="00000000" w:rsidDel="00000000" w:rsidP="00000000" w:rsidRDefault="00000000" w:rsidRPr="00000000" w14:paraId="0000000B">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RutaGest</w:t>
            </w:r>
          </w:p>
        </w:tc>
      </w:tr>
    </w:tbl>
    <w:p w:rsidR="00000000" w:rsidDel="00000000" w:rsidP="00000000" w:rsidRDefault="00000000" w:rsidRPr="00000000" w14:paraId="0000000C">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0D">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Información de la reunión:</w:t>
      </w:r>
    </w:p>
    <w:p w:rsidR="00000000" w:rsidDel="00000000" w:rsidP="00000000" w:rsidRDefault="00000000" w:rsidRPr="00000000" w14:paraId="0000000E">
      <w:pPr>
        <w:spacing w:after="0" w:before="0" w:line="240" w:lineRule="auto"/>
        <w:rPr>
          <w:rFonts w:ascii="Arial" w:cs="Arial" w:eastAsia="Arial" w:hAnsi="Arial"/>
          <w:b w:val="1"/>
          <w:bCs w:val="1"/>
          <w:color w:val="365f91"/>
          <w:sz w:val="24"/>
          <w:szCs w:val="24"/>
        </w:rPr>
      </w:pPr>
      <w:r w:rsidDel="00000000" w:rsidR="00000000" w:rsidRPr="00000000">
        <w:rPr>
          <w:rtl w:val="0"/>
        </w:rPr>
      </w:r>
    </w:p>
    <w:tbl>
      <w:tblPr>
        <w:tblStyle w:val="Table2"/>
        <w:tblW w:w="8870.0" w:type="dxa"/>
        <w:jc w:val="left"/>
        <w:tblInd w:w="-6.999999999999993" w:type="dxa"/>
        <w:tblLayout w:type="fixed"/>
        <w:tblLook w:val="0000"/>
      </w:tblPr>
      <w:tblGrid>
        <w:gridCol w:w="3261"/>
        <w:gridCol w:w="5609"/>
        <w:tblGridChange w:id="0">
          <w:tblGrid>
            <w:gridCol w:w="3261"/>
            <w:gridCol w:w="5609"/>
          </w:tblGrid>
        </w:tblGridChange>
      </w:tblGrid>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0F">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Lugar</w:t>
            </w:r>
          </w:p>
        </w:tc>
        <w:tc>
          <w:tcPr>
            <w:tcBorders>
              <w:top w:color="000000" w:space="0" w:sz="4" w:val="single"/>
              <w:bottom w:color="000000" w:space="0" w:sz="4" w:val="single"/>
            </w:tcBorders>
          </w:tcPr>
          <w:p w:rsidR="00000000" w:rsidDel="00000000" w:rsidP="00000000" w:rsidRDefault="00000000" w:rsidRPr="00000000" w14:paraId="0000001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Valparaíso</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1">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tcBorders>
              <w:top w:color="000000" w:space="0" w:sz="4" w:val="single"/>
              <w:bottom w:color="000000" w:space="0" w:sz="4" w:val="single"/>
            </w:tcBorders>
          </w:tcPr>
          <w:p w:rsidR="00000000" w:rsidDel="00000000" w:rsidP="00000000" w:rsidRDefault="00000000" w:rsidRPr="00000000" w14:paraId="00000012">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16/09/2026</w:t>
            </w: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3">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Número de iteración / sprint</w:t>
            </w:r>
          </w:p>
        </w:tc>
        <w:tc>
          <w:tcPr>
            <w:tcBorders>
              <w:top w:color="000000" w:space="0" w:sz="4" w:val="single"/>
              <w:bottom w:color="000000" w:space="0" w:sz="4" w:val="single"/>
            </w:tcBorders>
          </w:tcPr>
          <w:p w:rsidR="00000000" w:rsidDel="00000000" w:rsidP="00000000" w:rsidRDefault="00000000" w:rsidRPr="00000000" w14:paraId="00000014">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Sprint 1</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5">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convocadas a la reunión</w:t>
            </w:r>
          </w:p>
        </w:tc>
        <w:tc>
          <w:tcPr>
            <w:tcBorders>
              <w:top w:color="000000" w:space="0" w:sz="4" w:val="single"/>
              <w:bottom w:color="000000" w:space="0" w:sz="4" w:val="single"/>
            </w:tcBorders>
          </w:tcPr>
          <w:p w:rsidR="00000000" w:rsidDel="00000000" w:rsidP="00000000" w:rsidRDefault="00000000" w:rsidRPr="00000000" w14:paraId="00000016">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Guillermo Varas</w:t>
            </w:r>
          </w:p>
          <w:p w:rsidR="00000000" w:rsidDel="00000000" w:rsidP="00000000" w:rsidRDefault="00000000" w:rsidRPr="00000000" w14:paraId="00000017">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Cristobal Oyarzun</w:t>
            </w:r>
          </w:p>
          <w:p w:rsidR="00000000" w:rsidDel="00000000" w:rsidP="00000000" w:rsidRDefault="00000000" w:rsidRPr="00000000" w14:paraId="00000018">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Sebastián Cabrera</w:t>
            </w:r>
          </w:p>
          <w:p w:rsidR="00000000" w:rsidDel="00000000" w:rsidP="00000000" w:rsidRDefault="00000000" w:rsidRPr="00000000" w14:paraId="00000019">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1C">
            <w:pPr>
              <w:spacing w:after="0" w:before="0" w:line="240" w:lineRule="auto"/>
              <w:rPr>
                <w:rFonts w:ascii="Arial" w:cs="Arial" w:eastAsia="Arial" w:hAnsi="Arial"/>
                <w:color w:val="000000"/>
                <w:sz w:val="24"/>
                <w:szCs w:val="24"/>
              </w:rPr>
            </w:pPr>
            <w:r w:rsidDel="00000000" w:rsidR="00000000" w:rsidRPr="00000000">
              <w:rPr>
                <w:rtl w:val="0"/>
              </w:rPr>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1D">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Personas que asistieron a la reunión</w:t>
            </w:r>
          </w:p>
        </w:tc>
        <w:tc>
          <w:tcPr>
            <w:tcBorders>
              <w:top w:color="000000" w:space="0" w:sz="4" w:val="single"/>
              <w:bottom w:color="000000" w:space="0" w:sz="4" w:val="single"/>
            </w:tcBorders>
          </w:tcPr>
          <w:p w:rsidR="00000000" w:rsidDel="00000000" w:rsidP="00000000" w:rsidRDefault="00000000" w:rsidRPr="00000000" w14:paraId="0000001E">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Guillermo Varas</w:t>
            </w:r>
          </w:p>
          <w:p w:rsidR="00000000" w:rsidDel="00000000" w:rsidP="00000000" w:rsidRDefault="00000000" w:rsidRPr="00000000" w14:paraId="0000001F">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Cristobal Oyarzun</w:t>
            </w:r>
          </w:p>
          <w:p w:rsidR="00000000" w:rsidDel="00000000" w:rsidP="00000000" w:rsidRDefault="00000000" w:rsidRPr="00000000" w14:paraId="00000020">
            <w:pPr>
              <w:spacing w:after="0" w:before="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Sebastián Cabrera</w:t>
            </w:r>
          </w:p>
          <w:p w:rsidR="00000000" w:rsidDel="00000000" w:rsidP="00000000" w:rsidRDefault="00000000" w:rsidRPr="00000000" w14:paraId="00000021">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2">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3">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4">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5">
            <w:pPr>
              <w:spacing w:after="0" w:before="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6">
            <w:pPr>
              <w:spacing w:after="0" w:before="0" w:line="240" w:lineRule="auto"/>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27">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8">
      <w:pPr>
        <w:spacing w:after="0" w:before="0" w:line="240" w:lineRule="auto"/>
        <w:rPr>
          <w:rFonts w:ascii="Arial" w:cs="Arial" w:eastAsia="Arial" w:hAnsi="Arial"/>
          <w:b w:val="1"/>
          <w:bCs w:val="1"/>
          <w:color w:val="365f91"/>
          <w:sz w:val="24"/>
          <w:szCs w:val="24"/>
        </w:rPr>
      </w:pPr>
      <w:r w:rsidDel="00000000" w:rsidR="00000000" w:rsidRPr="00000000">
        <w:rPr>
          <w:rFonts w:ascii="Arial" w:cs="Arial" w:eastAsia="Arial" w:hAnsi="Arial"/>
          <w:b w:val="1"/>
          <w:bCs w:val="1"/>
          <w:color w:val="365f91"/>
          <w:sz w:val="24"/>
          <w:szCs w:val="24"/>
          <w:rtl w:val="0"/>
        </w:rPr>
        <w:t xml:space="preserve">Instrucciones:</w:t>
      </w:r>
    </w:p>
    <w:p w:rsidR="00000000" w:rsidDel="00000000" w:rsidP="00000000" w:rsidRDefault="00000000" w:rsidRPr="00000000" w14:paraId="00000029">
      <w:pPr>
        <w:spacing w:after="0" w:before="0" w:line="240" w:lineRule="auto"/>
        <w:rPr>
          <w:rFonts w:ascii="Arial" w:cs="Arial" w:eastAsia="Arial" w:hAnsi="Arial"/>
          <w:b w:val="1"/>
          <w:bCs w:val="1"/>
          <w:color w:val="365f91"/>
          <w:sz w:val="24"/>
          <w:szCs w:val="24"/>
        </w:rPr>
      </w:pPr>
      <w:r w:rsidDel="00000000" w:rsidR="00000000" w:rsidRPr="00000000">
        <w:rPr>
          <w:rtl w:val="0"/>
        </w:rPr>
      </w:r>
    </w:p>
    <w:p w:rsidR="00000000" w:rsidDel="00000000" w:rsidP="00000000" w:rsidRDefault="00000000" w:rsidRPr="00000000" w14:paraId="0000002A">
      <w:pPr>
        <w:spacing w:after="0" w:before="0" w:line="24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B">
      <w:pPr>
        <w:spacing w:after="0" w:before="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color w:val="000000"/>
          <w:sz w:val="20"/>
          <w:szCs w:val="20"/>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r w:rsidDel="00000000" w:rsidR="00000000" w:rsidRPr="00000000">
        <w:rPr>
          <w:rtl w:val="0"/>
        </w:rPr>
      </w:r>
    </w:p>
    <w:p w:rsidR="00000000" w:rsidDel="00000000" w:rsidP="00000000" w:rsidRDefault="00000000" w:rsidRPr="00000000" w14:paraId="0000002D">
      <w:pPr>
        <w:spacing w:after="0" w:before="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E">
      <w:pPr>
        <w:spacing w:after="0" w:before="0" w:line="240" w:lineRule="auto"/>
        <w:rPr>
          <w:rFonts w:ascii="Arial" w:cs="Arial" w:eastAsia="Arial" w:hAnsi="Arial"/>
          <w:color w:val="000000"/>
          <w:sz w:val="20"/>
          <w:szCs w:val="20"/>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rtl w:val="0"/>
        </w:rPr>
        <w:t xml:space="preserve">La reunión usualmente se restringe a </w:t>
      </w:r>
      <w:r w:rsidDel="00000000" w:rsidR="00000000" w:rsidRPr="00000000">
        <w:rPr>
          <w:rFonts w:ascii="Arial" w:cs="Arial" w:eastAsia="Arial" w:hAnsi="Arial"/>
          <w:sz w:val="20"/>
          <w:szCs w:val="20"/>
          <w:rtl w:val="0"/>
        </w:rPr>
        <w:t xml:space="preserve">dos</w:t>
      </w:r>
      <w:r w:rsidDel="00000000" w:rsidR="00000000" w:rsidRPr="00000000">
        <w:rPr>
          <w:rFonts w:ascii="Arial" w:cs="Arial" w:eastAsia="Arial" w:hAnsi="Arial"/>
          <w:color w:val="000000"/>
          <w:sz w:val="20"/>
          <w:szCs w:val="20"/>
          <w:rtl w:val="0"/>
        </w:rPr>
        <w:t xml:space="preserve">horas.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spacing w:after="0" w:before="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Formulario de reunión retrospectiva</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36"/>
          <w:szCs w:val="36"/>
          <w:u w:val="none"/>
          <w:shd w:fill="auto" w:val="clear"/>
          <w:vertAlign w:val="baseline"/>
        </w:rPr>
      </w:pPr>
      <w:r w:rsidDel="00000000" w:rsidR="00000000" w:rsidRPr="00000000">
        <w:rPr>
          <w:rtl w:val="0"/>
        </w:rPr>
      </w:r>
    </w:p>
    <w:tbl>
      <w:tblPr>
        <w:tblStyle w:val="Table3"/>
        <w:tblW w:w="12474.0" w:type="dxa"/>
        <w:jc w:val="left"/>
        <w:tblInd w:w="-6.999999999999993" w:type="dxa"/>
        <w:tblLayout w:type="fixed"/>
        <w:tblLook w:val="0000"/>
      </w:tblPr>
      <w:tblGrid>
        <w:gridCol w:w="3828"/>
        <w:gridCol w:w="4110"/>
        <w:gridCol w:w="4536"/>
        <w:tblGridChange w:id="0">
          <w:tblGrid>
            <w:gridCol w:w="3828"/>
            <w:gridCol w:w="4110"/>
            <w:gridCol w:w="4536"/>
          </w:tblGrid>
        </w:tblGridChange>
      </w:tblGrid>
      <w:tr>
        <w:trPr>
          <w:cantSplit w:val="1"/>
          <w:tblHeader w:val="1"/>
        </w:trPr>
        <w:tc>
          <w:tcPr>
            <w:tcBorders>
              <w:top w:color="000000" w:space="0" w:sz="4" w:val="single"/>
              <w:bottom w:color="000000" w:space="0" w:sz="4" w:val="single"/>
            </w:tcBorders>
            <w:shd w:fill="d9d9d9" w:val="clea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p>
        </w:tc>
        <w:tc>
          <w:tcPr>
            <w:tcBorders>
              <w:top w:color="000000" w:space="0" w:sz="4" w:val="single"/>
              <w:bottom w:color="000000" w:space="0" w:sz="4" w:val="single"/>
            </w:tcBorders>
            <w:shd w:fill="d9d9d9" w:val="clea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p>
        </w:tc>
        <w:tc>
          <w:tcPr>
            <w:tcBorders>
              <w:top w:color="000000" w:space="0" w:sz="4" w:val="single"/>
              <w:bottom w:color="000000" w:space="0" w:sz="4" w:val="single"/>
            </w:tcBorders>
            <w:shd w:fill="d9d9d9"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p>
        </w:tc>
      </w:tr>
      <w:tr>
        <w:trPr>
          <w:cantSplit w:val="0"/>
          <w:tblHeader w:val="0"/>
        </w:trPr>
        <w:tc>
          <w:tcPr>
            <w:tcBorders>
              <w:top w:color="000000" w:space="0" w:sz="4" w:val="single"/>
              <w:bottom w:color="000000" w:space="0" w:sz="4" w:val="single"/>
            </w:tcBorders>
          </w:tcPr>
          <w:p w:rsidR="00000000" w:rsidDel="00000000" w:rsidP="00000000" w:rsidRDefault="00000000" w:rsidRPr="00000000" w14:paraId="00000035">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completó el desarrollo del módulo de gestión de vehículos (diseño, base de datos, API y aplicación móvil) y se integró correctamente con la aplicación Ionic + Angular.</w:t>
            </w:r>
          </w:p>
          <w:p w:rsidR="00000000" w:rsidDel="00000000" w:rsidP="00000000" w:rsidRDefault="00000000" w:rsidRPr="00000000" w14:paraId="00000036">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El uso del Impediment Log permitió identificar, registrar y resolver oportunamente los problemas técnicos, evitando bloqueos prolongados en el desarrollo.</w:t>
            </w:r>
          </w:p>
        </w:tc>
        <w:tc>
          <w:tcPr>
            <w:tcBorders>
              <w:top w:color="000000" w:space="0" w:sz="4" w:val="single"/>
              <w:bottom w:color="000000" w:space="0" w:sz="4" w:val="single"/>
            </w:tcBorders>
          </w:tcPr>
          <w:p w:rsidR="00000000" w:rsidDel="00000000" w:rsidP="00000000" w:rsidRDefault="00000000" w:rsidRPr="00000000" w14:paraId="00000037">
            <w:pPr>
              <w:spacing w:after="120" w:before="0" w:line="240" w:lineRule="auto"/>
              <w:ind w:left="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8">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Se presentaron errores durante las pruebas de integración entre la aplicación móvil y la API, relacionados con solicitudes HTTP y rutas mal configuradas (I-0</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39">
            <w:pPr>
              <w:numPr>
                <w:ilvl w:val="0"/>
                <w:numId w:val="1"/>
              </w:numP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Faltó comunicación con el cliente para las reuniones programadas (I-02).</w:t>
            </w:r>
          </w:p>
        </w:tc>
        <w:tc>
          <w:tcPr>
            <w:tcBorders>
              <w:top w:color="000000" w:space="0" w:sz="4" w:val="single"/>
              <w:bottom w:color="000000" w:space="0" w:sz="4" w:val="single"/>
            </w:tcBorders>
          </w:tcPr>
          <w:p w:rsidR="00000000" w:rsidDel="00000000" w:rsidP="00000000" w:rsidRDefault="00000000" w:rsidRPr="00000000" w14:paraId="0000003A">
            <w:pPr>
              <w:spacing w:after="120" w:before="0"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B">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Revisar y documentar con mayor detalle las rutas y servicios de la API antes de iniciar la integración con la aplicación móvil, para reducir errores en los próximos Sprints.</w:t>
            </w:r>
          </w:p>
          <w:p w:rsidR="00000000" w:rsidDel="00000000" w:rsidP="00000000" w:rsidRDefault="00000000" w:rsidRPr="00000000" w14:paraId="0000003C">
            <w:pPr>
              <w:numPr>
                <w:ilvl w:val="0"/>
                <w:numId w:val="1"/>
              </w:numPr>
              <w:spacing w:after="120" w:before="0" w:line="240" w:lineRule="auto"/>
              <w:ind w:left="720" w:hanging="360"/>
              <w:rPr>
                <w:color w:val="000000"/>
                <w:sz w:val="20"/>
                <w:szCs w:val="20"/>
              </w:rPr>
            </w:pPr>
            <w:r w:rsidDel="00000000" w:rsidR="00000000" w:rsidRPr="00000000">
              <w:rPr>
                <w:rFonts w:ascii="Arial" w:cs="Arial" w:eastAsia="Arial" w:hAnsi="Arial"/>
                <w:color w:val="000000"/>
                <w:sz w:val="20"/>
                <w:szCs w:val="20"/>
                <w:rtl w:val="0"/>
              </w:rPr>
              <w:t xml:space="preserve">Continuar utilizando el Impediment Log desde el inicio de cada Sprint como práctica habitual de seguimiento.</w:t>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1"/>
          <w:bCs w:val="1"/>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spacing w:after="0" w:before="0" w:line="240" w:lineRule="auto"/>
        <w:ind w:left="720" w:firstLine="0"/>
        <w:rPr>
          <w:rFonts w:ascii="Arial" w:cs="Arial" w:eastAsia="Arial" w:hAnsi="Arial"/>
          <w:color w:val="000000"/>
          <w:sz w:val="20"/>
          <w:szCs w:val="20"/>
        </w:rPr>
      </w:pPr>
      <w:r w:rsidDel="00000000" w:rsidR="00000000" w:rsidRPr="00000000">
        <w:rPr>
          <w:rtl w:val="0"/>
        </w:rPr>
      </w:r>
    </w:p>
    <w:sectPr>
      <w:headerReference r:id="rId9" w:type="default"/>
      <w:headerReference r:id="rId10" w:type="first"/>
      <w:footerReference r:id="rId11" w:type="default"/>
      <w:footerReference r:id="rId12" w:type="firs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
              <a:graphic>
                <a:graphicData uri="http://schemas.microsoft.com/office/word/2010/wordprocessingShape">
                  <wps:wsp>
                    <wps:cNvSpPr/>
                    <wps:cNvPr id="2" name="Shape 2"/>
                    <wps:spPr>
                      <a:xfrm>
                        <a:off x="2539620" y="3698640"/>
                        <a:ext cx="561276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5650915" cy="200710"/>
              <wp:effectExtent b="0" l="0" r="0" t="0"/>
              <wp:wrapNone/>
              <wp:docPr id="3"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650915" cy="20071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
              <a:graphic>
                <a:graphicData uri="http://schemas.microsoft.com/office/word/2010/wordprocessingShape">
                  <wps:wsp>
                    <wps:cNvSpPr/>
                    <wps:cNvPr id="3" name="Shape 3"/>
                    <wps:spPr>
                      <a:xfrm>
                        <a:off x="1406700" y="3698640"/>
                        <a:ext cx="7878600" cy="162720"/>
                      </a:xfrm>
                      <a:prstGeom prst="rect">
                        <a:avLst/>
                      </a:prstGeom>
                      <a:solidFill>
                        <a:srgbClr val="4F81BD"/>
                      </a:solidFill>
                      <a:ln cap="flat" cmpd="sng" w="38150">
                        <a:solidFill>
                          <a:srgbClr val="F2F2F2"/>
                        </a:solidFill>
                        <a:prstDash val="solid"/>
                        <a:miter lim="8000"/>
                        <a:headEnd len="sm" w="sm" type="none"/>
                        <a:tailEnd len="sm" w="sm" type="none"/>
                      </a:ln>
                      <a:effectLst>
                        <a:outerShdw rotWithShape="0" dir="3633274" dist="25630">
                          <a:srgbClr val="243F60">
                            <a:alpha val="50196"/>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-21614</wp:posOffset>
              </wp:positionH>
              <wp:positionV relativeFrom="paragraph">
                <wp:posOffset>177140</wp:posOffset>
              </wp:positionV>
              <wp:extent cx="7916595" cy="20071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916595" cy="20071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1"/>
        <w:bCs w:val="1"/>
        <w:i w:val="1"/>
        <w:iCs w:val="1"/>
        <w:smallCaps w:val="0"/>
        <w:strike w:val="0"/>
        <w:color w:val="365f91"/>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80" w:before="280" w:line="240" w:lineRule="auto"/>
      <w:ind w:left="0" w:firstLine="0"/>
    </w:pPr>
    <w:rPr>
      <w:rFonts w:ascii="Times New Roman" w:cs="Times New Roman" w:eastAsia="Times New Roman" w:hAnsi="Times New Roman"/>
      <w:b w:val="1"/>
      <w:bCs w:val="1"/>
      <w:sz w:val="48"/>
      <w:szCs w:val="48"/>
    </w:rPr>
  </w:style>
  <w:style w:type="paragraph" w:styleId="Heading2">
    <w:name w:val="heading 2"/>
    <w:basedOn w:val="Normal"/>
    <w:next w:val="Normal"/>
    <w:pPr>
      <w:spacing w:after="280" w:before="280" w:line="240" w:lineRule="auto"/>
      <w:ind w:left="0" w:firstLine="0"/>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spacing w:after="60" w:before="240" w:lineRule="auto"/>
      <w:ind w:left="0" w:firstLine="0"/>
    </w:pPr>
    <w:rPr>
      <w:rFonts w:ascii="Cambria" w:cs="Cambria" w:eastAsia="Cambria" w:hAnsi="Cambria"/>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WW8Num2z0">
    <w:name w:val="WW8Num2z0"/>
    <w:qFormat w:val="1"/>
    <w:rPr>
      <w:rFonts w:ascii="Symbol" w:cs="Symbol" w:hAnsi="Symbol"/>
    </w:rPr>
  </w:style>
  <w:style w:type="character" w:styleId="WW8Num2z1">
    <w:name w:val="WW8Num2z1"/>
    <w:qFormat w:val="1"/>
    <w:rPr>
      <w:rFonts w:ascii="Courier New" w:cs="Courier New" w:hAnsi="Courier New"/>
    </w:rPr>
  </w:style>
  <w:style w:type="character" w:styleId="WW8Num2z2">
    <w:name w:val="WW8Num2z2"/>
    <w:qFormat w:val="1"/>
    <w:rPr>
      <w:rFonts w:ascii="Wingdings" w:cs="Wingdings" w:hAnsi="Wingdings"/>
    </w:rPr>
  </w:style>
  <w:style w:type="character" w:styleId="WW8Num3z0">
    <w:name w:val="WW8Num3z0"/>
    <w:qFormat w:val="1"/>
    <w:rPr>
      <w:rFonts w:ascii="Symbol" w:cs="Symbol" w:hAnsi="Symbol"/>
    </w:rPr>
  </w:style>
  <w:style w:type="character" w:styleId="WW8Num3z1">
    <w:name w:val="WW8Num3z1"/>
    <w:qFormat w:val="1"/>
    <w:rPr>
      <w:rFonts w:ascii="Courier New" w:cs="Courier New" w:hAnsi="Courier New"/>
    </w:rPr>
  </w:style>
  <w:style w:type="character" w:styleId="WW8Num3z2">
    <w:name w:val="WW8Num3z2"/>
    <w:qFormat w:val="1"/>
    <w:rPr>
      <w:rFonts w:ascii="Wingdings" w:cs="Wingdings" w:hAnsi="Wingdings"/>
    </w:rPr>
  </w:style>
  <w:style w:type="character" w:styleId="Fuentedeprrafopredeter">
    <w:name w:val="Fuente de párrafo predeter."/>
    <w:qFormat w:val="1"/>
    <w:rPr/>
  </w:style>
  <w:style w:type="character" w:styleId="apple-converted-space">
    <w:name w:val="apple-converted-space"/>
    <w:basedOn w:val="Fuentedeprrafopredeter"/>
    <w:qFormat w:val="1"/>
    <w:rPr/>
  </w:style>
  <w:style w:type="character" w:styleId="Strong">
    <w:name w:val="Strong"/>
    <w:qFormat w:val="1"/>
    <w:rPr>
      <w:b w:val="1"/>
      <w:bCs w:val="1"/>
    </w:rPr>
  </w:style>
  <w:style w:type="character" w:styleId="Hyperlink">
    <w:name w:val="Hyperlink"/>
    <w:rPr>
      <w:color w:val="0000ff"/>
      <w:u w:val="single"/>
    </w:rPr>
  </w:style>
  <w:style w:type="character" w:styleId="TextocomentarioCar">
    <w:name w:val="Texto comentario Car"/>
    <w:qFormat w:val="1"/>
    <w:rPr>
      <w:rFonts w:ascii="Times New Roman" w:cs="Times New Roman" w:eastAsia="Times New Roman" w:hAnsi="Times New Roman"/>
      <w:sz w:val="20"/>
      <w:szCs w:val="20"/>
      <w:lang w:val="en-US"/>
    </w:rPr>
  </w:style>
  <w:style w:type="character" w:styleId="Ttulo1Car">
    <w:name w:val="Título 1 Car"/>
    <w:qFormat w:val="1"/>
    <w:rPr>
      <w:rFonts w:ascii="Times New Roman" w:cs="Times New Roman" w:eastAsia="Times New Roman" w:hAnsi="Times New Roman"/>
      <w:b w:val="1"/>
      <w:bCs w:val="1"/>
      <w:kern w:val="2"/>
      <w:sz w:val="48"/>
      <w:szCs w:val="48"/>
    </w:rPr>
  </w:style>
  <w:style w:type="character" w:styleId="Ttulo2Car">
    <w:name w:val="Título 2 Car"/>
    <w:qFormat w:val="1"/>
    <w:rPr>
      <w:rFonts w:ascii="Times New Roman" w:cs="Times New Roman" w:eastAsia="Times New Roman" w:hAnsi="Times New Roman"/>
      <w:b w:val="1"/>
      <w:bCs w:val="1"/>
      <w:sz w:val="36"/>
      <w:szCs w:val="36"/>
    </w:rPr>
  </w:style>
  <w:style w:type="character" w:styleId="vote-count-post">
    <w:name w:val="vote-count-post"/>
    <w:basedOn w:val="Fuentedeprrafopredeter"/>
    <w:qFormat w:val="1"/>
    <w:rPr/>
  </w:style>
  <w:style w:type="character" w:styleId="relativetime">
    <w:name w:val="relativetime"/>
    <w:basedOn w:val="Fuentedeprrafopredeter"/>
    <w:qFormat w:val="1"/>
    <w:rPr/>
  </w:style>
  <w:style w:type="character" w:styleId="reputation-score">
    <w:name w:val="reputation-score"/>
    <w:basedOn w:val="Fuentedeprrafopredeter"/>
    <w:qFormat w:val="1"/>
    <w:rPr/>
  </w:style>
  <w:style w:type="character" w:styleId="badgecount">
    <w:name w:val="badgecount"/>
    <w:basedOn w:val="Fuentedeprrafopredeter"/>
    <w:qFormat w:val="1"/>
    <w:rPr/>
  </w:style>
  <w:style w:type="character" w:styleId="cool">
    <w:name w:val="cool"/>
    <w:basedOn w:val="Fuentedeprrafopredeter"/>
    <w:qFormat w:val="1"/>
    <w:rPr/>
  </w:style>
  <w:style w:type="character" w:styleId="comment-copy">
    <w:name w:val="comment-copy"/>
    <w:basedOn w:val="Fuentedeprrafopredeter"/>
    <w:qFormat w:val="1"/>
    <w:rPr/>
  </w:style>
  <w:style w:type="character" w:styleId="comment-date">
    <w:name w:val="comment-date"/>
    <w:basedOn w:val="Fuentedeprrafopredeter"/>
    <w:qFormat w:val="1"/>
    <w:rPr/>
  </w:style>
  <w:style w:type="character" w:styleId="Emphasis">
    <w:name w:val="Emphasis"/>
    <w:qFormat w:val="1"/>
    <w:rPr>
      <w:i w:val="1"/>
      <w:iCs w:val="1"/>
    </w:rPr>
  </w:style>
  <w:style w:type="character" w:styleId="TextodegloboCar">
    <w:name w:val="Texto de globo Car"/>
    <w:qFormat w:val="1"/>
    <w:rPr>
      <w:rFonts w:ascii="Tahoma" w:cs="Tahoma" w:hAnsi="Tahoma"/>
      <w:sz w:val="16"/>
      <w:szCs w:val="16"/>
    </w:rPr>
  </w:style>
  <w:style w:type="character" w:styleId="Ttulo3Car">
    <w:name w:val="Título 3 Car"/>
    <w:qFormat w:val="1"/>
    <w:rPr>
      <w:rFonts w:ascii="Cambria" w:cs="Times New Roman" w:eastAsia="Times New Roman" w:hAnsi="Cambria"/>
      <w:b w:val="1"/>
      <w:bCs w:val="1"/>
      <w:sz w:val="26"/>
      <w:szCs w:val="26"/>
    </w:rPr>
  </w:style>
  <w:style w:type="character" w:styleId="ilad">
    <w:name w:val="il_ad"/>
    <w:basedOn w:val="Fuentedeprrafopredeter"/>
    <w:qFormat w:val="1"/>
    <w:rPr/>
  </w:style>
  <w:style w:type="character" w:styleId="EncabezadoCar">
    <w:name w:val="Encabezado Car"/>
    <w:qFormat w:val="1"/>
    <w:rPr>
      <w:sz w:val="22"/>
      <w:szCs w:val="22"/>
    </w:rPr>
  </w:style>
  <w:style w:type="character" w:styleId="PiedepginaCar">
    <w:name w:val="Pie de página Car"/>
    <w:qFormat w:val="1"/>
    <w:rPr>
      <w:sz w:val="22"/>
      <w:szCs w:val="22"/>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NormalWeb">
    <w:name w:val="Normal (Web)"/>
    <w:basedOn w:val="Normal"/>
    <w:qFormat w:val="1"/>
    <w:pPr>
      <w:spacing w:after="280" w:before="280" w:line="240" w:lineRule="auto"/>
    </w:pPr>
    <w:rPr>
      <w:rFonts w:ascii="Times New Roman" w:cs="Times New Roman" w:eastAsia="Times New Roman" w:hAnsi="Times New Roman"/>
      <w:sz w:val="24"/>
      <w:szCs w:val="24"/>
    </w:rPr>
  </w:style>
  <w:style w:type="paragraph" w:styleId="Prrafodelista">
    <w:name w:val="Párrafo de lista"/>
    <w:basedOn w:val="Normal"/>
    <w:qFormat w:val="1"/>
    <w:pPr>
      <w:spacing w:after="200" w:before="0"/>
      <w:ind w:start="720" w:end="0" w:hanging="0"/>
      <w:contextualSpacing w:val="1"/>
    </w:pPr>
    <w:rPr/>
  </w:style>
  <w:style w:type="paragraph" w:styleId="Textocomentario">
    <w:name w:val="Texto comentario"/>
    <w:basedOn w:val="Normal"/>
    <w:qFormat w:val="1"/>
    <w:pPr>
      <w:spacing w:after="0" w:before="0" w:line="240" w:lineRule="auto"/>
    </w:pPr>
    <w:rPr>
      <w:rFonts w:ascii="Times New Roman" w:cs="Times New Roman" w:eastAsia="Times New Roman" w:hAnsi="Times New Roman"/>
      <w:sz w:val="20"/>
      <w:szCs w:val="20"/>
      <w:lang w:val="en-US"/>
    </w:rPr>
  </w:style>
  <w:style w:type="paragraph" w:styleId="Textodeglobo">
    <w:name w:val="Texto de globo"/>
    <w:basedOn w:val="Normal"/>
    <w:qFormat w:val="1"/>
    <w:pPr>
      <w:spacing w:after="0" w:before="0" w:line="240" w:lineRule="auto"/>
    </w:pPr>
    <w:rPr>
      <w:rFonts w:ascii="Tahoma" w:cs="Tahoma" w:hAnsi="Tahoma"/>
      <w:sz w:val="16"/>
      <w:szCs w:val="16"/>
    </w:rPr>
  </w:style>
  <w:style w:type="paragraph" w:styleId="HeaderandFooter">
    <w:name w:val="Header and Footer"/>
    <w:basedOn w:val="Normal"/>
    <w:qFormat w:val="1"/>
    <w:pPr>
      <w:suppressLineNumbers w:val="1"/>
      <w:tabs>
        <w:tab w:val="clear" w:pos="708"/>
        <w:tab w:val="center" w:leader="none" w:pos="4819"/>
        <w:tab w:val="right" w:leader="none" w:pos="9638"/>
      </w:tabs>
    </w:pPr>
    <w:rPr/>
  </w:style>
  <w:style w:type="paragraph" w:styleId="Header">
    <w:name w:val="Header"/>
    <w:basedOn w:val="Normal"/>
    <w:pPr>
      <w:tabs>
        <w:tab w:val="clear" w:pos="708"/>
        <w:tab w:val="center" w:leader="none" w:pos="4419"/>
        <w:tab w:val="right" w:leader="none" w:pos="8838"/>
      </w:tabs>
    </w:pPr>
    <w:rPr/>
  </w:style>
  <w:style w:type="paragraph" w:styleId="Footer">
    <w:name w:val="Footer"/>
    <w:basedOn w:val="Normal"/>
    <w:pPr>
      <w:tabs>
        <w:tab w:val="clear" w:pos="708"/>
        <w:tab w:val="center" w:leader="none" w:pos="4419"/>
        <w:tab w:val="right" w:leader="none" w:pos="8838"/>
      </w:tabs>
    </w:pPr>
    <w:rPr/>
  </w:style>
  <w:style w:type="paragraph" w:styleId="TableContents">
    <w:name w:val="Table Contents"/>
    <w:basedOn w:val="Normal"/>
    <w:qFormat w:val="1"/>
    <w:pPr>
      <w:widowControl w:val="0"/>
      <w:suppressLineNumbers w:val="1"/>
    </w:pPr>
    <w:rPr/>
  </w:style>
  <w:style w:type="paragraph" w:styleId="TableHeading">
    <w:name w:val="Table Heading"/>
    <w:basedOn w:val="TableContents"/>
    <w:qFormat w:val="1"/>
    <w:pPr>
      <w:suppressLineNumbers w:val="1"/>
      <w:jc w:val="center"/>
    </w:pPr>
    <w:rPr>
      <w:b w:val="1"/>
      <w:bCs w:val="1"/>
    </w:rPr>
  </w:style>
  <w:style w:type="numbering" w:styleId="WW8Num1">
    <w:name w:val="WW8Num1"/>
    <w:qFormat w:val="1"/>
  </w:style>
  <w:style w:type="numbering" w:styleId="WW8Num2">
    <w:name w:val="WW8Num2"/>
    <w:qFormat w:val="1"/>
  </w:style>
  <w:style w:type="numbering" w:styleId="WW8Num3">
    <w:name w:val="WW8Num3"/>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KeT1qfeF4eFATs7CZmYmhLQWg==">CgMxLjA4AHIhMVBXQlVwel9sclJHSkQ2M2tDcVdHMkNBZVlkX1A2TVBH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