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757575"/>
          <w:spacing w:val="200"/>
          <w:sz w:val="28"/>
          <w:szCs w:val="28"/>
        </w:rPr>
        <w:t xml:space="preserve">CYBER RESILIENCE FOR THE</w:t>
      </w:r>
    </w:p>
    <w:p>
      <w:pPr>
        <w:spacing w:after="200"/>
        <w:jc w:val="center"/>
      </w:pPr>
      <w:r>
        <w:rPr>
          <w:rFonts w:ascii="Arial" w:cs="Arial" w:eastAsia="Arial" w:hAnsi="Arial"/>
          <w:b/>
          <w:bCs/>
          <w:color w:val="1B3A5C"/>
          <w:sz w:val="72"/>
          <w:szCs w:val="72"/>
        </w:rPr>
        <w:t xml:space="preserve">AI FACTORY</w:t>
      </w:r>
    </w:p>
    <w:p>
      <w:pPr>
        <w:pBdr>
          <w:bottom w:val="single" w:color="2E75B6" w:sz="8" w:space="16"/>
        </w:pBdr>
        <w:spacing w:after="400"/>
        <w:jc w:val="center"/>
      </w:pPr>
    </w:p>
    <w:p>
      <w:pPr>
        <w:spacing w:after="200"/>
        <w:jc w:val="center"/>
      </w:pPr>
      <w:r>
        <w:rPr>
          <w:rFonts w:ascii="Arial" w:cs="Arial" w:eastAsia="Arial" w:hAnsi="Arial"/>
          <w:color w:val="2E75B6"/>
          <w:sz w:val="28"/>
          <w:szCs w:val="28"/>
        </w:rPr>
        <w:t xml:space="preserve">Protecting Breakthrough Science When the Stakes</w:t>
      </w:r>
    </w:p>
    <w:p>
      <w:pPr>
        <w:spacing w:after="200"/>
        <w:jc w:val="center"/>
      </w:pPr>
      <w:r>
        <w:rPr>
          <w:rFonts w:ascii="Arial" w:cs="Arial" w:eastAsia="Arial" w:hAnsi="Arial"/>
          <w:color w:val="2E75B6"/>
          <w:sz w:val="28"/>
          <w:szCs w:val="28"/>
        </w:rPr>
        <w:t xml:space="preserve">Are Measured in Years of Discovery, Not Just Dollars</w:t>
      </w:r>
    </w:p>
    <w:p>
      <w:pPr>
        <w:spacing w:after="400"/>
      </w:pPr>
    </w:p>
    <w:p>
      <w:pPr>
        <w:spacing w:after="120"/>
        <w:jc w:val="center"/>
      </w:pPr>
      <w:r>
        <w:rPr>
          <w:rFonts w:ascii="Arial" w:cs="Arial" w:eastAsia="Arial" w:hAnsi="Arial"/>
          <w:b/>
          <w:bCs/>
          <w:color w:val="1B3A5C"/>
          <w:sz w:val="26"/>
          <w:szCs w:val="26"/>
        </w:rPr>
        <w:t xml:space="preserve">Prepared for Novartis</w:t>
      </w:r>
    </w:p>
    <w:p>
      <w:pPr>
        <w:spacing w:after="300"/>
      </w:pPr>
    </w:p>
    <w:p>
      <w:pPr>
        <w:spacing w:after="120"/>
        <w:jc w:val="center"/>
      </w:pPr>
      <w:r>
        <w:rPr>
          <w:rFonts w:ascii="Arial" w:cs="Arial" w:eastAsia="Arial" w:hAnsi="Arial"/>
          <w:color w:val="757575"/>
          <w:sz w:val="22"/>
          <w:szCs w:val="22"/>
        </w:rPr>
        <w:t xml:space="preserve">An end-to-end cyber resilience strategy for the Novartis DGX SuperPOD program</w:t>
      </w:r>
    </w:p>
    <w:p>
      <w:pPr>
        <w:spacing w:after="120"/>
        <w:jc w:val="center"/>
      </w:pPr>
      <w:r>
        <w:rPr>
          <w:rFonts w:ascii="Arial" w:cs="Arial" w:eastAsia="Arial" w:hAnsi="Arial"/>
          <w:color w:val="757575"/>
          <w:sz w:val="22"/>
          <w:szCs w:val="22"/>
        </w:rPr>
        <w:t xml:space="preserve">powered by the Dell AI Data Platform, Superna Cyberstorage,</w:t>
      </w:r>
    </w:p>
    <w:p>
      <w:pPr>
        <w:spacing w:after="120"/>
        <w:jc w:val="center"/>
      </w:pPr>
      <w:r>
        <w:rPr>
          <w:rFonts w:ascii="Arial" w:cs="Arial" w:eastAsia="Arial" w:hAnsi="Arial"/>
          <w:color w:val="757575"/>
          <w:sz w:val="22"/>
          <w:szCs w:val="22"/>
        </w:rPr>
        <w:t xml:space="preserve">and Dell PowerProtect Cyber Recovery</w:t>
      </w:r>
    </w:p>
    <w:p>
      <w:pPr>
        <w:spacing w:after="800"/>
      </w:pPr>
    </w:p>
    <w:p>
      <w:pPr>
        <w:spacing w:after="60"/>
        <w:jc w:val="center"/>
      </w:pPr>
      <w:r>
        <w:rPr>
          <w:rFonts w:ascii="Arial" w:cs="Arial" w:eastAsia="Arial" w:hAnsi="Arial"/>
          <w:color w:val="757575"/>
          <w:spacing w:val="160"/>
          <w:sz w:val="20"/>
          <w:szCs w:val="20"/>
        </w:rPr>
        <w:t xml:space="preserve">CONFIDENTIAL</w:t>
      </w:r>
    </w:p>
    <w:p>
      <w:pPr>
        <w:jc w:val="center"/>
      </w:pPr>
      <w:r>
        <w:rPr>
          <w:rFonts w:ascii="Arial" w:cs="Arial" w:eastAsia="Arial" w:hAnsi="Arial"/>
          <w:color w:val="75757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Accelerating Science Raises the Stakes for Everyone</w:t>
      </w:r>
    </w:p>
    <w:p>
      <w:pPr>
        <w:spacing w:after="160"/>
      </w:pPr>
      <w:r>
        <w:rPr>
          <w:rFonts w:ascii="Arial" w:cs="Arial" w:eastAsia="Arial" w:hAnsi="Arial"/>
          <w:color w:val="333333"/>
          <w:sz w:val="22"/>
          <w:szCs w:val="22"/>
        </w:rPr>
        <w:t xml:space="preserve">Novartis’s investment in NVIDIA DGX SuperPOD infrastructure — with deployments planned in </w:t>
      </w:r>
      <w:r>
        <w:rPr>
          <w:rFonts w:ascii="Arial" w:cs="Arial" w:eastAsia="Arial" w:hAnsi="Arial"/>
          <w:b/>
          <w:bCs/>
          <w:color w:val="333333"/>
          <w:sz w:val="22"/>
          <w:szCs w:val="22"/>
        </w:rPr>
        <w:t xml:space="preserve">Boston and Basel</w:t>
      </w:r>
      <w:r>
        <w:rPr>
          <w:rFonts w:ascii="Arial" w:cs="Arial" w:eastAsia="Arial" w:hAnsi="Arial"/>
          <w:color w:val="333333"/>
          <w:sz w:val="22"/>
          <w:szCs w:val="22"/>
        </w:rPr>
        <w:t xml:space="preserve"> — signals a serious commitment to AI-accelerated pharmaceutical research. These initial SuperPOD deployments are the seed of what will grow into a broader AI factory footprint as Novartis expands its use of the </w:t>
      </w:r>
      <w:r>
        <w:rPr>
          <w:rFonts w:ascii="Arial" w:cs="Arial" w:eastAsia="Arial" w:hAnsi="Arial"/>
          <w:b/>
          <w:bCs/>
          <w:color w:val="333333"/>
          <w:sz w:val="22"/>
          <w:szCs w:val="22"/>
        </w:rPr>
        <w:t xml:space="preserve">Dell AI Factory with NVIDIA</w:t>
      </w:r>
      <w:r>
        <w:rPr>
          <w:rFonts w:ascii="Arial" w:cs="Arial" w:eastAsia="Arial" w:hAnsi="Arial"/>
          <w:color w:val="333333"/>
          <w:sz w:val="22"/>
          <w:szCs w:val="22"/>
        </w:rPr>
        <w:t xml:space="preserve"> across the organization.</w:t>
      </w:r>
    </w:p>
    <w:p>
      <w:pPr>
        <w:spacing w:after="160"/>
      </w:pPr>
      <w:r>
        <w:rPr>
          <w:rFonts w:ascii="Arial" w:cs="Arial" w:eastAsia="Arial" w:hAnsi="Arial"/>
          <w:color w:val="333333"/>
          <w:sz w:val="22"/>
          <w:szCs w:val="22"/>
        </w:rPr>
        <w:t xml:space="preserve">The challenge is straightforward: </w:t>
      </w:r>
      <w:r>
        <w:rPr>
          <w:rFonts w:ascii="Arial" w:cs="Arial" w:eastAsia="Arial" w:hAnsi="Arial"/>
          <w:b/>
          <w:bCs/>
          <w:color w:val="333333"/>
          <w:sz w:val="22"/>
          <w:szCs w:val="22"/>
        </w:rPr>
        <w:t xml:space="preserve">the more valuable the science becomes, the more it attracts attention</w:t>
      </w:r>
      <w:r>
        <w:rPr>
          <w:rFonts w:ascii="Arial" w:cs="Arial" w:eastAsia="Arial" w:hAnsi="Arial"/>
          <w:color w:val="333333"/>
          <w:sz w:val="22"/>
          <w:szCs w:val="22"/>
        </w:rPr>
        <w:t xml:space="preserve">. AI models trained on proprietary clinical, molecular, and genomic data represent competitive advantage that extends far beyond IT. Building the right cyber resilience posture from day one avoids the cost and risk of retrofitting protections later.</w:t>
      </w:r>
    </w:p>
    <w:p>
      <w:pPr>
        <w:spacing w:after="160"/>
      </w:pPr>
      <w:r>
        <w:rPr>
          <w:rFonts w:ascii="Arial" w:cs="Arial" w:eastAsia="Arial" w:hAnsi="Arial"/>
          <w:color w:val="333333"/>
          <w:sz w:val="22"/>
          <w:szCs w:val="22"/>
        </w:rPr>
        <w:t xml:space="preserve">NVIDIA has done an exceptional job securing the compute layer. This document, developed in partnership between </w:t>
      </w:r>
      <w:r>
        <w:rPr>
          <w:rFonts w:ascii="Arial" w:cs="Arial" w:eastAsia="Arial" w:hAnsi="Arial"/>
          <w:b/>
          <w:bCs/>
          <w:color w:val="333333"/>
          <w:sz w:val="22"/>
          <w:szCs w:val="22"/>
        </w:rPr>
        <w:t xml:space="preserve">Dell Technologies and NVIDIA</w:t>
      </w:r>
      <w:r>
        <w:rPr>
          <w:rFonts w:ascii="Arial" w:cs="Arial" w:eastAsia="Arial" w:hAnsi="Arial"/>
          <w:color w:val="333333"/>
          <w:sz w:val="22"/>
          <w:szCs w:val="22"/>
        </w:rPr>
        <w:t xml:space="preserve">, focuses on the complementary question: how do we extend that same level of protection to the broader data lifecycle — the storage tiers where data is prepared, staged, meshed, replicated, and archived?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900" w:sz="6"/>
              <w:left w:val="single" w:color="BF6900" w:sz="6"/>
              <w:bottom w:val="single" w:color="BF6900" w:sz="6"/>
              <w:right w:val="single" w:color="BF6900" w:sz="6"/>
            </w:tcBorders>
            <w:shd w:fill="FFF9F0" w:val="clear"/>
            <w:tcMar>
              <w:top w:type="dxa" w:w="160"/>
              <w:left w:type="dxa" w:w="200"/>
              <w:bottom w:type="dxa" w:w="160"/>
              <w:right w:type="dxa" w:w="200"/>
            </w:tcMar>
          </w:tcPr>
          <w:p>
            <w:pPr>
              <w:spacing w:after="80"/>
            </w:pPr>
            <w:r>
              <w:rPr>
                <w:rFonts w:ascii="Arial" w:cs="Arial" w:eastAsia="Arial" w:hAnsi="Arial"/>
                <w:b/>
                <w:bCs/>
                <w:color w:val="BF6900"/>
                <w:sz w:val="22"/>
                <w:szCs w:val="22"/>
              </w:rPr>
              <w:t xml:space="preserve">COMPLETING THE PICTURE: STORAGE-LAYER CONSIDERATIONS</w:t>
            </w:r>
          </w:p>
          <w:p>
            <w:pPr>
              <w:spacing w:after="120"/>
            </w:pPr>
            <w:r>
              <w:rPr>
                <w:rFonts w:ascii="Arial" w:cs="Arial" w:eastAsia="Arial" w:hAnsi="Arial"/>
                <w:color w:val="333333"/>
                <w:sz w:val="22"/>
                <w:szCs w:val="22"/>
              </w:rPr>
              <w:t xml:space="preserve">NVIDIA’s compute-layer security excels at its design purpose. The following threat categories operate in the storage domain and benefit from dedicated, complementary protections:</w:t>
            </w:r>
          </w:p>
          <w:p>
            <w:pPr>
              <w:spacing w:after="120"/>
            </w:pPr>
            <w:r>
              <w:rPr>
                <w:rFonts w:ascii="Arial" w:cs="Arial" w:eastAsia="Arial" w:hAnsi="Arial"/>
                <w:b/>
                <w:bCs/>
                <w:color w:val="333333"/>
                <w:sz w:val="22"/>
                <w:szCs w:val="22"/>
              </w:rPr>
              <w:t xml:space="preserve">Ransomware on file storage </w:t>
            </w:r>
            <w:r>
              <w:rPr>
                <w:rFonts w:ascii="Arial" w:cs="Arial" w:eastAsia="Arial" w:hAnsi="Arial"/>
                <w:color w:val="333333"/>
                <w:sz w:val="22"/>
                <w:szCs w:val="22"/>
              </w:rPr>
              <w:t xml:space="preserve">— encryption of training datasets, model checkpoints, and inference results at the file system level.</w:t>
            </w:r>
          </w:p>
          <w:p>
            <w:pPr>
              <w:spacing w:after="120"/>
            </w:pPr>
            <w:r>
              <w:rPr>
                <w:rFonts w:ascii="Arial" w:cs="Arial" w:eastAsia="Arial" w:hAnsi="Arial"/>
                <w:b/>
                <w:bCs/>
                <w:color w:val="333333"/>
                <w:sz w:val="22"/>
                <w:szCs w:val="22"/>
              </w:rPr>
              <w:t xml:space="preserve">Data poisoning </w:t>
            </w:r>
            <w:r>
              <w:rPr>
                <w:rFonts w:ascii="Arial" w:cs="Arial" w:eastAsia="Arial" w:hAnsi="Arial"/>
                <w:color w:val="333333"/>
                <w:sz w:val="22"/>
                <w:szCs w:val="22"/>
              </w:rPr>
              <w:t xml:space="preserve">— subtle corruption of upstream training datasets that can degrade model quality without triggering compute-layer alerts.</w:t>
            </w:r>
          </w:p>
          <w:p>
            <w:pPr>
              <w:spacing w:after="120"/>
            </w:pPr>
            <w:r>
              <w:rPr>
                <w:rFonts w:ascii="Arial" w:cs="Arial" w:eastAsia="Arial" w:hAnsi="Arial"/>
                <w:b/>
                <w:bCs/>
                <w:color w:val="333333"/>
                <w:sz w:val="22"/>
                <w:szCs w:val="22"/>
              </w:rPr>
              <w:t xml:space="preserve">Insider threats and credential compromise </w:t>
            </w:r>
            <w:r>
              <w:rPr>
                <w:rFonts w:ascii="Arial" w:cs="Arial" w:eastAsia="Arial" w:hAnsi="Arial"/>
                <w:color w:val="333333"/>
                <w:sz w:val="22"/>
                <w:szCs w:val="22"/>
              </w:rPr>
              <w:t xml:space="preserve">— misused credentials exfiltrating proprietary model weights or altering curated datasets.</w:t>
            </w:r>
          </w:p>
          <w:p>
            <w:pPr>
              <w:spacing w:after="120"/>
            </w:pPr>
            <w:r>
              <w:rPr>
                <w:rFonts w:ascii="Arial" w:cs="Arial" w:eastAsia="Arial" w:hAnsi="Arial"/>
                <w:b/>
                <w:bCs/>
                <w:color w:val="333333"/>
                <w:sz w:val="22"/>
                <w:szCs w:val="22"/>
              </w:rPr>
              <w:t xml:space="preserve">Wiper malware targeting recovery infrastructure </w:t>
            </w:r>
            <w:r>
              <w:rPr>
                <w:rFonts w:ascii="Arial" w:cs="Arial" w:eastAsia="Arial" w:hAnsi="Arial"/>
                <w:color w:val="333333"/>
                <w:sz w:val="22"/>
                <w:szCs w:val="22"/>
              </w:rPr>
              <w:t xml:space="preserve">— attacks designed to destroy backup systems before the primary attack begins.</w:t>
            </w:r>
          </w:p>
          <w:p>
            <w:pPr>
              <w:spacing w:after="120"/>
            </w:pPr>
            <w:r>
              <w:rPr>
                <w:rFonts w:ascii="Arial" w:cs="Arial" w:eastAsia="Arial" w:hAnsi="Arial"/>
                <w:b/>
                <w:bCs/>
                <w:color w:val="333333"/>
                <w:sz w:val="22"/>
                <w:szCs w:val="22"/>
              </w:rPr>
              <w:t xml:space="preserve">Silent data exfiltration </w:t>
            </w:r>
            <w:r>
              <w:rPr>
                <w:rFonts w:ascii="Arial" w:cs="Arial" w:eastAsia="Arial" w:hAnsi="Arial"/>
                <w:color w:val="333333"/>
                <w:sz w:val="22"/>
                <w:szCs w:val="22"/>
              </w:rPr>
              <w:t xml:space="preserve">— unauthorized bulk reads of model weights or sensitive training data through normal storage protocols.</w:t>
            </w:r>
          </w:p>
          <w:p>
            <w:pPr>
              <w:spacing w:after="0"/>
            </w:pPr>
            <w:r>
              <w:rPr>
                <w:rFonts w:ascii="Arial" w:cs="Arial" w:eastAsia="Arial" w:hAnsi="Arial"/>
                <w:b/>
                <w:bCs/>
                <w:color w:val="333333"/>
                <w:sz w:val="22"/>
                <w:szCs w:val="22"/>
              </w:rPr>
              <w:t xml:space="preserve">Low-and-slow living-off-the-land attacks </w:t>
            </w:r>
            <w:r>
              <w:rPr>
                <w:rFonts w:ascii="Arial" w:cs="Arial" w:eastAsia="Arial" w:hAnsi="Arial"/>
                <w:color w:val="333333"/>
                <w:sz w:val="22"/>
                <w:szCs w:val="22"/>
              </w:rPr>
              <w:t xml:space="preserve">— valid credentials used to gradually corrupt data beneath signature-based detection.</w:t>
            </w:r>
          </w:p>
        </w:tc>
      </w:tr>
    </w:tbl>
    <w:p>
      <w:pPr>
        <w:spacing w:after="100"/>
      </w:pPr>
    </w:p>
    <w:p>
      <w:pPr>
        <w:spacing w:after="160"/>
      </w:pPr>
      <w:r>
        <w:rPr>
          <w:rFonts w:ascii="Arial" w:cs="Arial" w:eastAsia="Arial" w:hAnsi="Arial"/>
          <w:color w:val="333333"/>
          <w:sz w:val="22"/>
          <w:szCs w:val="22"/>
        </w:rPr>
        <w:t xml:space="preserve">Addressing these is the natural next step in building a comprehensive resilience posture around an investment of this magnitude.</w:t>
      </w:r>
    </w:p>
    <w:p>
      <w:r>
        <w:br w:type="page"/>
      </w:r>
    </w:p>
    <w:p>
      <w:pPr>
        <w:pStyle w:val="Heading1"/>
      </w:pPr>
      <w:r>
        <w:t xml:space="preserve">The Novartis Architecture: From SuperPOD Seed to Enterprise AI Factory</w:t>
      </w:r>
    </w:p>
    <w:p>
      <w:pPr>
        <w:spacing w:after="160"/>
      </w:pPr>
      <w:r>
        <w:rPr>
          <w:rFonts w:ascii="Arial" w:cs="Arial" w:eastAsia="Arial" w:hAnsi="Arial"/>
          <w:color w:val="333333"/>
          <w:sz w:val="22"/>
          <w:szCs w:val="22"/>
        </w:rPr>
        <w:t xml:space="preserve">Novartis’s AI infrastructure involves multiple complementary components. The DGX SuperPOD deployments in </w:t>
      </w:r>
      <w:r>
        <w:rPr>
          <w:rFonts w:ascii="Arial" w:cs="Arial" w:eastAsia="Arial" w:hAnsi="Arial"/>
          <w:b/>
          <w:bCs/>
          <w:color w:val="333333"/>
          <w:sz w:val="22"/>
          <w:szCs w:val="22"/>
        </w:rPr>
        <w:t xml:space="preserve">Boston (with Markley as systems integrator) and Basel</w:t>
      </w:r>
      <w:r>
        <w:rPr>
          <w:rFonts w:ascii="Arial" w:cs="Arial" w:eastAsia="Arial" w:hAnsi="Arial"/>
          <w:color w:val="333333"/>
          <w:sz w:val="22"/>
          <w:szCs w:val="22"/>
        </w:rPr>
        <w:t xml:space="preserve"> provide the compute core. The </w:t>
      </w:r>
      <w:r>
        <w:rPr>
          <w:rFonts w:ascii="Arial" w:cs="Arial" w:eastAsia="Arial" w:hAnsi="Arial"/>
          <w:b/>
          <w:bCs/>
          <w:color w:val="333333"/>
          <w:sz w:val="22"/>
          <w:szCs w:val="22"/>
        </w:rPr>
        <w:t xml:space="preserve">Dell AI Factory with NVIDIA</w:t>
      </w:r>
      <w:r>
        <w:rPr>
          <w:rFonts w:ascii="Arial" w:cs="Arial" w:eastAsia="Arial" w:hAnsi="Arial"/>
          <w:color w:val="333333"/>
          <w:sz w:val="22"/>
          <w:szCs w:val="22"/>
        </w:rPr>
        <w:t xml:space="preserve"> provides the broader foundation that will grow as Novartis expands its AI ambitions.</w:t>
      </w:r>
    </w:p>
    <w:p>
      <w:pPr>
        <w:spacing w:after="100" w:before="200"/>
      </w:pPr>
      <w:r>
        <w:rPr>
          <w:rFonts w:ascii="Arial" w:cs="Arial" w:eastAsia="Arial" w:hAnsi="Arial"/>
          <w:b/>
          <w:bCs/>
          <w:color w:val="1B3A5C"/>
          <w:sz w:val="24"/>
          <w:szCs w:val="24"/>
        </w:rPr>
        <w:t xml:space="preserve">Tier 1 — The Enterprise Data Estate, Data Meshing, and Cross-Site Replication</w:t>
      </w:r>
    </w:p>
    <w:p>
      <w:pPr>
        <w:spacing w:after="160"/>
      </w:pPr>
      <w:r>
        <w:rPr>
          <w:rFonts w:ascii="Arial" w:cs="Arial" w:eastAsia="Arial" w:hAnsi="Arial"/>
          <w:b/>
          <w:bCs/>
          <w:color w:val="333333"/>
          <w:sz w:val="22"/>
          <w:szCs w:val="22"/>
        </w:rPr>
        <w:t xml:space="preserve">Dell PowerScale</w:t>
      </w:r>
      <w:r>
        <w:rPr>
          <w:rFonts w:ascii="Arial" w:cs="Arial" w:eastAsia="Arial" w:hAnsi="Arial"/>
          <w:color w:val="333333"/>
          <w:sz w:val="22"/>
          <w:szCs w:val="22"/>
        </w:rPr>
        <w:t xml:space="preserve"> serves as the primary enterprise file storage where Novartis’s raw research data originates — genomics, clinical trial data, imaging, and lab instrumentation outputs. </w:t>
      </w:r>
      <w:r>
        <w:rPr>
          <w:rFonts w:ascii="Arial" w:cs="Arial" w:eastAsia="Arial" w:hAnsi="Arial"/>
          <w:b/>
          <w:bCs/>
          <w:color w:val="333333"/>
          <w:sz w:val="22"/>
          <w:szCs w:val="22"/>
        </w:rPr>
        <w:t xml:space="preserve">WEKA has been selected for Data Meshing</w:t>
      </w:r>
      <w:r>
        <w:rPr>
          <w:rFonts w:ascii="Arial" w:cs="Arial" w:eastAsia="Arial" w:hAnsi="Arial"/>
          <w:color w:val="333333"/>
          <w:sz w:val="22"/>
          <w:szCs w:val="22"/>
        </w:rPr>
        <w:t xml:space="preserve">, enabling high-performance data access patterns across research workflows. For cross-site replication at Novartis’s core sites, </w:t>
      </w:r>
      <w:r>
        <w:rPr>
          <w:rFonts w:ascii="Arial" w:cs="Arial" w:eastAsia="Arial" w:hAnsi="Arial"/>
          <w:b/>
          <w:bCs/>
          <w:color w:val="333333"/>
          <w:sz w:val="22"/>
          <w:szCs w:val="22"/>
        </w:rPr>
        <w:t xml:space="preserve">Dell ObjectScale</w:t>
      </w:r>
      <w:r>
        <w:rPr>
          <w:rFonts w:ascii="Arial" w:cs="Arial" w:eastAsia="Arial" w:hAnsi="Arial"/>
          <w:color w:val="333333"/>
          <w:sz w:val="22"/>
          <w:szCs w:val="22"/>
        </w:rPr>
        <w:t xml:space="preserve"> provides S3-compatible object storage, allowing datasets to be versioned, governed, and replicated between Boston and Basel — ensuring both SuperPOD deployments have access to consistent data while maintaining a replication layer that itself benefits from cyber resilience monitoring.</w:t>
      </w:r>
    </w:p>
    <w:p>
      <w:pPr>
        <w:spacing w:after="100" w:before="200"/>
      </w:pPr>
      <w:r>
        <w:rPr>
          <w:rFonts w:ascii="Arial" w:cs="Arial" w:eastAsia="Arial" w:hAnsi="Arial"/>
          <w:b/>
          <w:bCs/>
          <w:color w:val="1B3A5C"/>
          <w:sz w:val="24"/>
          <w:szCs w:val="24"/>
        </w:rPr>
        <w:t xml:space="preserve">Tier 2 — High-Performance AI Storage</w:t>
      </w:r>
    </w:p>
    <w:p>
      <w:pPr>
        <w:spacing w:after="160"/>
      </w:pPr>
      <w:r>
        <w:rPr>
          <w:rFonts w:ascii="Arial" w:cs="Arial" w:eastAsia="Arial" w:hAnsi="Arial"/>
          <w:b/>
          <w:bCs/>
          <w:color w:val="333333"/>
          <w:sz w:val="22"/>
          <w:szCs w:val="22"/>
        </w:rPr>
        <w:t xml:space="preserve">Dell Lightning File System</w:t>
      </w:r>
      <w:r>
        <w:rPr>
          <w:rFonts w:ascii="Arial" w:cs="Arial" w:eastAsia="Arial" w:hAnsi="Arial"/>
          <w:color w:val="333333"/>
          <w:sz w:val="22"/>
          <w:szCs w:val="22"/>
        </w:rPr>
        <w:t xml:space="preserve"> — up to 150 GB/s per rack — offers </w:t>
      </w:r>
      <w:r>
        <w:rPr>
          <w:rFonts w:ascii="Arial" w:cs="Arial" w:eastAsia="Arial" w:hAnsi="Arial"/>
          <w:b/>
          <w:bCs/>
          <w:color w:val="333333"/>
          <w:sz w:val="22"/>
          <w:szCs w:val="22"/>
        </w:rPr>
        <w:t xml:space="preserve">full data fluidity</w:t>
      </w:r>
      <w:r>
        <w:rPr>
          <w:rFonts w:ascii="Arial" w:cs="Arial" w:eastAsia="Arial" w:hAnsi="Arial"/>
          <w:color w:val="333333"/>
          <w:sz w:val="22"/>
          <w:szCs w:val="22"/>
        </w:rPr>
        <w:t xml:space="preserve"> with Lightning, PowerScale, and ObjectScale on common Dell Exascale Storage hardware.</w:t>
      </w:r>
    </w:p>
    <w:p>
      <w:pPr>
        <w:spacing w:after="100" w:before="200"/>
      </w:pPr>
      <w:r>
        <w:rPr>
          <w:rFonts w:ascii="Arial" w:cs="Arial" w:eastAsia="Arial" w:hAnsi="Arial"/>
          <w:b/>
          <w:bCs/>
          <w:color w:val="1B3A5C"/>
          <w:sz w:val="24"/>
          <w:szCs w:val="24"/>
        </w:rPr>
        <w:t xml:space="preserve">Tier 3 — Inference Context &amp; Results</w:t>
      </w:r>
    </w:p>
    <w:p>
      <w:pPr>
        <w:spacing w:after="160"/>
      </w:pPr>
      <w:r>
        <w:rPr>
          <w:rFonts w:ascii="Arial" w:cs="Arial" w:eastAsia="Arial" w:hAnsi="Arial"/>
          <w:b/>
          <w:bCs/>
          <w:color w:val="333333"/>
          <w:sz w:val="22"/>
          <w:szCs w:val="22"/>
        </w:rPr>
        <w:t xml:space="preserve">NVIDIA CMX</w:t>
      </w:r>
      <w:r>
        <w:rPr>
          <w:rFonts w:ascii="Arial" w:cs="Arial" w:eastAsia="Arial" w:hAnsi="Arial"/>
          <w:color w:val="333333"/>
          <w:sz w:val="22"/>
          <w:szCs w:val="22"/>
        </w:rPr>
        <w:t xml:space="preserve"> support enables KV cache offload. Models, checkpoints, and results flow back to PowerScale or ObjectScale.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BUILDING RESILIENCE FROM DAY ONE</w:t>
            </w:r>
          </w:p>
          <w:p>
            <w:r>
              <w:rPr>
                <w:rFonts w:ascii="Arial" w:cs="Arial" w:eastAsia="Arial" w:hAnsi="Arial"/>
                <w:color w:val="333333"/>
                <w:sz w:val="22"/>
                <w:szCs w:val="22"/>
              </w:rPr>
              <w:t xml:space="preserve">As Novartis grows from initial SuperPOD deployments to a broader Dell AI Factory footprint, the cyber resilience architecture established now will scale with the infrastructure. </w:t>
            </w:r>
            <w:r>
              <w:rPr>
                <w:rFonts w:ascii="Arial" w:cs="Arial" w:eastAsia="Arial" w:hAnsi="Arial"/>
                <w:b/>
                <w:bCs/>
                <w:color w:val="333333"/>
                <w:sz w:val="22"/>
                <w:szCs w:val="22"/>
              </w:rPr>
              <w:t xml:space="preserve">Designing protection into the data pipeline from the start is significantly more cost-effective than retrofitting it after the fact.</w:t>
            </w:r>
          </w:p>
        </w:tc>
      </w:tr>
    </w:tbl>
    <w:p>
      <w:r>
        <w:br w:type="page"/>
      </w:r>
    </w:p>
    <w:p>
      <w:pPr>
        <w:pStyle w:val="Heading1"/>
      </w:pPr>
      <w:r>
        <w:t xml:space="preserve">The Strong Foundation: NVIDIA Compute-Layer Security</w:t>
      </w:r>
    </w:p>
    <w:p>
      <w:pPr>
        <w:spacing w:after="160"/>
      </w:pPr>
      <w:r>
        <w:rPr>
          <w:rFonts w:ascii="Arial" w:cs="Arial" w:eastAsia="Arial" w:hAnsi="Arial"/>
          <w:color w:val="333333"/>
          <w:sz w:val="22"/>
          <w:szCs w:val="22"/>
        </w:rPr>
        <w:t xml:space="preserve">NVIDIA’s compute-layer security provides an outstanding foundation to build upon.</w:t>
      </w:r>
    </w:p>
    <w:p>
      <w:pPr>
        <w:pStyle w:val="Heading2"/>
      </w:pPr>
      <w:r>
        <w:t xml:space="preserve">Confidential Computing</w:t>
      </w:r>
    </w:p>
    <w:p>
      <w:pPr>
        <w:spacing w:after="160"/>
      </w:pPr>
      <w:r>
        <w:rPr>
          <w:rFonts w:ascii="Arial" w:cs="Arial" w:eastAsia="Arial" w:hAnsi="Arial"/>
          <w:color w:val="333333"/>
          <w:sz w:val="22"/>
          <w:szCs w:val="22"/>
        </w:rPr>
        <w:t xml:space="preserve">The Blackwell architecture integrates hardware-backed Confidential Computing, combining a CPU-based Trusted Execution Environment with NVIDIA’s GPU-native confidential computing. In CC mode, the GPU encrypts all data in GPU memory. With the Rubin platform, this extends to rack-scale encryption across CPU, GPU, and NVLink domains.</w:t>
      </w:r>
    </w:p>
    <w:p>
      <w:pPr>
        <w:pStyle w:val="Heading2"/>
      </w:pPr>
      <w:r>
        <w:t xml:space="preserve">BlueField DPUs &amp; Network Security</w:t>
      </w:r>
    </w:p>
    <w:p>
      <w:pPr>
        <w:spacing w:after="160"/>
      </w:pPr>
      <w:r>
        <w:rPr>
          <w:rFonts w:ascii="Arial" w:cs="Arial" w:eastAsia="Arial" w:hAnsi="Arial"/>
          <w:color w:val="333333"/>
          <w:sz w:val="22"/>
          <w:szCs w:val="22"/>
        </w:rPr>
        <w:t xml:space="preserve">BlueField DPUs offload encryption/decryption, firewall, and TCP/IP processing, performing AI-driven security analytics on network traffic.</w:t>
      </w:r>
    </w:p>
    <w:p>
      <w:pPr>
        <w:pStyle w:val="Heading2"/>
      </w:pPr>
      <w:r>
        <w:t xml:space="preserve">Firmware Integrity &amp; Software Supply Chain</w:t>
      </w:r>
    </w:p>
    <w:p>
      <w:pPr>
        <w:spacing w:after="160"/>
      </w:pPr>
      <w:r>
        <w:rPr>
          <w:rFonts w:ascii="Arial" w:cs="Arial" w:eastAsia="Arial" w:hAnsi="Arial"/>
          <w:color w:val="333333"/>
          <w:sz w:val="22"/>
          <w:szCs w:val="22"/>
        </w:rPr>
        <w:t xml:space="preserve">Dual Remote Attestation, Secure Flash, AES-CBC firmware encryption, and NGC vulnerability scanning ensure workloads run on verified hardware with verified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THE COMPLEMENTARY OPPORTUNITY</w:t>
            </w:r>
          </w:p>
          <w:p>
            <w:r>
              <w:rPr>
                <w:rFonts w:ascii="Arial" w:cs="Arial" w:eastAsia="Arial" w:hAnsi="Arial"/>
                <w:color w:val="333333"/>
                <w:sz w:val="22"/>
                <w:szCs w:val="22"/>
              </w:rPr>
              <w:t xml:space="preserve">These protections are expertly designed for data in compute and data in transit. The opportunity lies in extending similar rigor to data at rest and in motion across the storage tiers. </w:t>
            </w:r>
            <w:r>
              <w:rPr>
                <w:rFonts w:ascii="Arial" w:cs="Arial" w:eastAsia="Arial" w:hAnsi="Arial"/>
                <w:b/>
                <w:bCs/>
                <w:color w:val="333333"/>
                <w:sz w:val="22"/>
                <w:szCs w:val="22"/>
              </w:rPr>
              <w:t xml:space="preserve">Think of it as building the second wing of the same building: compute security on one side, storage security on the other, connected by a shared commitment to protecting Novartis’s science.</w:t>
            </w:r>
          </w:p>
        </w:tc>
      </w:tr>
    </w:tbl>
    <w:p>
      <w:r>
        <w:br w:type="page"/>
      </w:r>
    </w:p>
    <w:p>
      <w:pPr>
        <w:pStyle w:val="Heading1"/>
      </w:pPr>
      <w:r>
        <w:t xml:space="preserve">Completing the Resilience Posture: Superna + Dell Cyber Recovery</w:t>
      </w:r>
    </w:p>
    <w:p>
      <w:pPr>
        <w:spacing w:after="160"/>
      </w:pPr>
      <w:r>
        <w:rPr>
          <w:rFonts w:ascii="Arial" w:cs="Arial" w:eastAsia="Arial" w:hAnsi="Arial"/>
          <w:color w:val="333333"/>
          <w:sz w:val="22"/>
          <w:szCs w:val="22"/>
        </w:rPr>
        <w:t xml:space="preserve">With the compute layer well defended by NVIDIA, and the infrastructure shaped through Dell’s partnership with NVIDIA,  the natural next step is to bring equivalent rigor to the storage layer.</w:t>
      </w:r>
    </w:p>
    <w:p>
      <w:pPr>
        <w:pStyle w:val="Heading2"/>
      </w:pPr>
      <w:r>
        <w:t xml:space="preserve">Superna: Real-Time Detection Across the Data Lifecycle</w:t>
      </w:r>
    </w:p>
    <w:p>
      <w:pPr>
        <w:spacing w:after="160"/>
      </w:pPr>
      <w:r>
        <w:rPr>
          <w:rFonts w:ascii="Arial" w:cs="Arial" w:eastAsia="Arial" w:hAnsi="Arial"/>
          <w:color w:val="333333"/>
          <w:sz w:val="22"/>
          <w:szCs w:val="22"/>
        </w:rPr>
        <w:t xml:space="preserve">Superna operates at the storage layer — monitoring file access patterns, detecting behavioral anomalies, and automating containment across every tier of the Dell AI Data Platform.</w:t>
      </w:r>
    </w:p>
    <w:p>
      <w:pPr>
        <w:spacing w:after="100" w:before="200"/>
      </w:pPr>
      <w:r>
        <w:rPr>
          <w:rFonts w:ascii="Arial" w:cs="Arial" w:eastAsia="Arial" w:hAnsi="Arial"/>
          <w:b/>
          <w:bCs/>
          <w:color w:val="1B3A5C"/>
          <w:sz w:val="24"/>
          <w:szCs w:val="24"/>
        </w:rPr>
        <w:t xml:space="preserve">Dell PowerScale</w:t>
      </w:r>
    </w:p>
    <w:p>
      <w:pPr>
        <w:spacing w:after="160"/>
      </w:pPr>
      <w:r>
        <w:rPr>
          <w:rFonts w:ascii="Arial" w:cs="Arial" w:eastAsia="Arial" w:hAnsi="Arial"/>
          <w:color w:val="333333"/>
          <w:sz w:val="22"/>
          <w:szCs w:val="22"/>
        </w:rPr>
        <w:t xml:space="preserve">Superna integrates natively with PowerScale, detecting ransomware patterns, insider threats, and data integrity issues. Automated response locks accounts, isolates workloads, prevents spread. Smart AirGap keeps backups immutable.</w:t>
      </w:r>
    </w:p>
    <w:p>
      <w:pPr>
        <w:spacing w:after="100" w:before="200"/>
      </w:pPr>
      <w:r>
        <w:rPr>
          <w:rFonts w:ascii="Arial" w:cs="Arial" w:eastAsia="Arial" w:hAnsi="Arial"/>
          <w:b/>
          <w:bCs/>
          <w:color w:val="1B3A5C"/>
          <w:sz w:val="24"/>
          <w:szCs w:val="24"/>
        </w:rPr>
        <w:t xml:space="preserve">Dell ObjectScale (Cross-Site Replication)</w:t>
      </w:r>
    </w:p>
    <w:p>
      <w:pPr>
        <w:spacing w:after="160"/>
      </w:pPr>
      <w:r>
        <w:rPr>
          <w:rFonts w:ascii="Arial" w:cs="Arial" w:eastAsia="Arial" w:hAnsi="Arial"/>
          <w:color w:val="333333"/>
          <w:sz w:val="22"/>
          <w:szCs w:val="22"/>
        </w:rPr>
        <w:t xml:space="preserve">With ObjectScale handling Boston–Basel replication, Superna monitors the object storage tier for anomalies — </w:t>
      </w:r>
      <w:r>
        <w:rPr>
          <w:rFonts w:ascii="Arial" w:cs="Arial" w:eastAsia="Arial" w:hAnsi="Arial"/>
          <w:b/>
          <w:bCs/>
          <w:color w:val="333333"/>
          <w:sz w:val="22"/>
          <w:szCs w:val="22"/>
        </w:rPr>
        <w:t xml:space="preserve">protecting the replication pipeline from becoming a propagation channel for corrupted data</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WEKA and Cross-Platform Coverage</w:t>
      </w:r>
    </w:p>
    <w:p>
      <w:pPr>
        <w:spacing w:after="160"/>
      </w:pPr>
      <w:r>
        <w:rPr>
          <w:rFonts w:ascii="Arial" w:cs="Arial" w:eastAsia="Arial" w:hAnsi="Arial"/>
          <w:color w:val="333333"/>
          <w:sz w:val="22"/>
          <w:szCs w:val="22"/>
        </w:rPr>
        <w:t xml:space="preserve">Superna integrates across Dell PowerScale, VAST Data, Qumulo, Hitachi, and NetApp. As the data mesh evolves, Superna can extend consistent detection across platforms. </w:t>
      </w:r>
      <w:r>
        <w:rPr>
          <w:rFonts w:ascii="Arial" w:cs="Arial" w:eastAsia="Arial" w:hAnsi="Arial"/>
          <w:b/>
          <w:bCs/>
          <w:color w:val="333333"/>
          <w:sz w:val="22"/>
          <w:szCs w:val="22"/>
        </w:rPr>
        <w:t xml:space="preserve">One console, one policy framework, full visibility.</w:t>
      </w:r>
    </w:p>
    <w:p>
      <w:pPr>
        <w:spacing w:after="100" w:before="200"/>
      </w:pPr>
      <w:r>
        <w:rPr>
          <w:rFonts w:ascii="Arial" w:cs="Arial" w:eastAsia="Arial" w:hAnsi="Arial"/>
          <w:b/>
          <w:bCs/>
          <w:color w:val="1B3A5C"/>
          <w:sz w:val="24"/>
          <w:szCs w:val="24"/>
        </w:rPr>
        <w:t xml:space="preserve">Dell Lightning File System</w:t>
      </w:r>
    </w:p>
    <w:p>
      <w:pPr>
        <w:spacing w:after="160"/>
      </w:pPr>
      <w:r>
        <w:rPr>
          <w:rFonts w:ascii="Arial" w:cs="Arial" w:eastAsia="Arial" w:hAnsi="Arial"/>
          <w:color w:val="333333"/>
          <w:sz w:val="22"/>
          <w:szCs w:val="22"/>
        </w:rPr>
        <w:t xml:space="preserve">Superna extends into the GPU-hot tier, providing </w:t>
      </w:r>
      <w:r>
        <w:rPr>
          <w:rFonts w:ascii="Arial" w:cs="Arial" w:eastAsia="Arial" w:hAnsi="Arial"/>
          <w:b/>
          <w:bCs/>
          <w:color w:val="333333"/>
          <w:sz w:val="22"/>
          <w:szCs w:val="22"/>
        </w:rPr>
        <w:t xml:space="preserve">consistent, cross-tier threat detection</w:t>
      </w:r>
      <w:r>
        <w:rPr>
          <w:rFonts w:ascii="Arial" w:cs="Arial" w:eastAsia="Arial" w:hAnsi="Arial"/>
          <w:color w:val="333333"/>
          <w:sz w:val="22"/>
          <w:szCs w:val="22"/>
        </w:rPr>
        <w:t xml:space="preserve"> from archive through enterprise storage to GPU-hot access.</w:t>
      </w:r>
    </w:p>
    <w:p>
      <w:pPr>
        <w:spacing w:after="100" w:before="200"/>
      </w:pPr>
      <w:r>
        <w:rPr>
          <w:rFonts w:ascii="Arial" w:cs="Arial" w:eastAsia="Arial" w:hAnsi="Arial"/>
          <w:b/>
          <w:bCs/>
          <w:color w:val="1B3A5C"/>
          <w:sz w:val="24"/>
          <w:szCs w:val="24"/>
        </w:rPr>
        <w:t xml:space="preserve">How Superna Addresses Each Consideration</w:t>
      </w:r>
    </w:p>
    <w:p>
      <w:pPr>
        <w:pStyle w:val="ListParagraph"/>
        <w:numPr>
          <w:ilvl w:val="0"/>
          <w:numId w:val="2"/>
        </w:numPr>
        <w:spacing w:after="80"/>
      </w:pPr>
      <w:r>
        <w:rPr>
          <w:rFonts w:ascii="Arial" w:cs="Arial" w:eastAsia="Arial" w:hAnsi="Arial"/>
          <w:b/>
          <w:bCs/>
          <w:color w:val="333333"/>
          <w:sz w:val="22"/>
          <w:szCs w:val="22"/>
        </w:rPr>
        <w:t xml:space="preserve">Ransomware: </w:t>
      </w:r>
      <w:r>
        <w:rPr>
          <w:rFonts w:ascii="Arial" w:cs="Arial" w:eastAsia="Arial" w:hAnsi="Arial"/>
          <w:color w:val="333333"/>
          <w:sz w:val="22"/>
          <w:szCs w:val="22"/>
        </w:rPr>
        <w:t xml:space="preserve">Inline detection with automated containment across all tiers.</w:t>
      </w:r>
    </w:p>
    <w:p>
      <w:pPr>
        <w:pStyle w:val="ListParagraph"/>
        <w:numPr>
          <w:ilvl w:val="0"/>
          <w:numId w:val="2"/>
        </w:numPr>
        <w:spacing w:after="80"/>
      </w:pPr>
      <w:r>
        <w:rPr>
          <w:rFonts w:ascii="Arial" w:cs="Arial" w:eastAsia="Arial" w:hAnsi="Arial"/>
          <w:b/>
          <w:bCs/>
          <w:color w:val="333333"/>
          <w:sz w:val="22"/>
          <w:szCs w:val="22"/>
        </w:rPr>
        <w:t xml:space="preserve">Data poisoning: </w:t>
      </w:r>
      <w:r>
        <w:rPr>
          <w:rFonts w:ascii="Arial" w:cs="Arial" w:eastAsia="Arial" w:hAnsi="Arial"/>
          <w:color w:val="333333"/>
          <w:sz w:val="22"/>
          <w:szCs w:val="22"/>
        </w:rPr>
        <w:t xml:space="preserve">Content-aware analysis via Cyber Scanner.</w:t>
      </w:r>
    </w:p>
    <w:p>
      <w:pPr>
        <w:pStyle w:val="ListParagraph"/>
        <w:numPr>
          <w:ilvl w:val="0"/>
          <w:numId w:val="2"/>
        </w:numPr>
        <w:spacing w:after="80"/>
      </w:pPr>
      <w:r>
        <w:rPr>
          <w:rFonts w:ascii="Arial" w:cs="Arial" w:eastAsia="Arial" w:hAnsi="Arial"/>
          <w:b/>
          <w:bCs/>
          <w:color w:val="333333"/>
          <w:sz w:val="22"/>
          <w:szCs w:val="22"/>
        </w:rPr>
        <w:t xml:space="preserve">Insider threat: </w:t>
      </w:r>
      <w:r>
        <w:rPr>
          <w:rFonts w:ascii="Arial" w:cs="Arial" w:eastAsia="Arial" w:hAnsi="Arial"/>
          <w:color w:val="333333"/>
          <w:sz w:val="22"/>
          <w:szCs w:val="22"/>
        </w:rPr>
        <w:t xml:space="preserve">Behavioral analysis across PowerScale and ObjectScale.</w:t>
      </w:r>
    </w:p>
    <w:p>
      <w:pPr>
        <w:pStyle w:val="ListParagraph"/>
        <w:numPr>
          <w:ilvl w:val="0"/>
          <w:numId w:val="2"/>
        </w:numPr>
        <w:spacing w:after="80"/>
      </w:pPr>
      <w:r>
        <w:rPr>
          <w:rFonts w:ascii="Arial" w:cs="Arial" w:eastAsia="Arial" w:hAnsi="Arial"/>
          <w:b/>
          <w:bCs/>
          <w:color w:val="333333"/>
          <w:sz w:val="22"/>
          <w:szCs w:val="22"/>
        </w:rPr>
        <w:t xml:space="preserve">Cross-site integrity: </w:t>
      </w:r>
      <w:r>
        <w:rPr>
          <w:rFonts w:ascii="Arial" w:cs="Arial" w:eastAsia="Arial" w:hAnsi="Arial"/>
          <w:color w:val="333333"/>
          <w:sz w:val="22"/>
          <w:szCs w:val="22"/>
        </w:rPr>
        <w:t xml:space="preserve">Monitoring of ObjectScale replication between Boston and Basel.</w:t>
      </w:r>
    </w:p>
    <w:p>
      <w:pPr>
        <w:pStyle w:val="ListParagraph"/>
        <w:numPr>
          <w:ilvl w:val="0"/>
          <w:numId w:val="2"/>
        </w:numPr>
        <w:spacing w:after="80"/>
      </w:pPr>
      <w:r>
        <w:rPr>
          <w:rFonts w:ascii="Arial" w:cs="Arial" w:eastAsia="Arial" w:hAnsi="Arial"/>
          <w:b/>
          <w:bCs/>
          <w:color w:val="333333"/>
          <w:sz w:val="22"/>
          <w:szCs w:val="22"/>
        </w:rPr>
        <w:t xml:space="preserve">Wiper malware: </w:t>
      </w:r>
      <w:r>
        <w:rPr>
          <w:rFonts w:ascii="Arial" w:cs="Arial" w:eastAsia="Arial" w:hAnsi="Arial"/>
          <w:color w:val="333333"/>
          <w:sz w:val="22"/>
          <w:szCs w:val="22"/>
        </w:rPr>
        <w:t xml:space="preserve">Smart AirGap isolates backups from production.</w:t>
      </w:r>
    </w:p>
    <w:p>
      <w:pPr>
        <w:pStyle w:val="ListParagraph"/>
        <w:numPr>
          <w:ilvl w:val="0"/>
          <w:numId w:val="2"/>
        </w:numPr>
        <w:spacing w:after="80"/>
      </w:pPr>
      <w:r>
        <w:rPr>
          <w:rFonts w:ascii="Arial" w:cs="Arial" w:eastAsia="Arial" w:hAnsi="Arial"/>
          <w:b/>
          <w:bCs/>
          <w:color w:val="333333"/>
          <w:sz w:val="22"/>
          <w:szCs w:val="22"/>
        </w:rPr>
        <w:t xml:space="preserve">Compliance: </w:t>
      </w:r>
      <w:r>
        <w:rPr>
          <w:rFonts w:ascii="Arial" w:cs="Arial" w:eastAsia="Arial" w:hAnsi="Arial"/>
          <w:color w:val="333333"/>
          <w:sz w:val="22"/>
          <w:szCs w:val="22"/>
        </w:rPr>
        <w:t xml:space="preserve">Audit-ready logging for NIST, HIPAA, GDPR, SOC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DF7ED" w:val="clear"/>
            <w:tcMar>
              <w:top w:type="dxa" w:w="160"/>
              <w:left w:type="dxa" w:w="200"/>
              <w:bottom w:type="dxa" w:w="160"/>
              <w:right w:type="dxa" w:w="200"/>
            </w:tcMar>
          </w:tcPr>
          <w:p>
            <w:pPr>
              <w:spacing w:after="80"/>
            </w:pPr>
            <w:r>
              <w:rPr>
                <w:rFonts w:ascii="Arial" w:cs="Arial" w:eastAsia="Arial" w:hAnsi="Arial"/>
                <w:b/>
                <w:bCs/>
                <w:color w:val="2E7D32"/>
                <w:sz w:val="22"/>
                <w:szCs w:val="22"/>
              </w:rPr>
              <w:t xml:space="preserve">DETECTION THAT FOLLOWS THE DATA</w:t>
            </w:r>
          </w:p>
          <w:p>
            <w:r>
              <w:rPr>
                <w:rFonts w:ascii="Arial" w:cs="Arial" w:eastAsia="Arial" w:hAnsi="Arial"/>
                <w:color w:val="333333"/>
                <w:sz w:val="22"/>
                <w:szCs w:val="22"/>
              </w:rPr>
              <w:t xml:space="preserve">Novartis’s data flows between Boston and Basel, across PowerScale, ObjectScale, WEKA, Lightning, and CMX caches. Superna follows the data wherever it moves — maintaining continuous monitoring regardless of geography or storage engine. When NVIDIA’s protections hand data back to storage after a training run, Superna is already watching.</w:t>
            </w:r>
          </w:p>
        </w:tc>
      </w:tr>
    </w:tbl>
    <w:p>
      <w:r>
        <w:br w:type="page"/>
      </w:r>
    </w:p>
    <w:p>
      <w:pPr>
        <w:pStyle w:val="Heading2"/>
      </w:pPr>
      <w:r>
        <w:t xml:space="preserve">Dell PowerProtect Cyber Recovery: The Complete Recovery Architecture</w:t>
      </w:r>
    </w:p>
    <w:p>
      <w:pPr>
        <w:spacing w:after="160"/>
      </w:pPr>
      <w:r>
        <w:rPr>
          <w:rFonts w:ascii="Arial" w:cs="Arial" w:eastAsia="Arial" w:hAnsi="Arial"/>
          <w:color w:val="333333"/>
          <w:sz w:val="22"/>
          <w:szCs w:val="22"/>
        </w:rPr>
        <w:t xml:space="preserve">Even with excellent real-time detection, the most consequential attacks are designed to persist. Nation-state actors and advanced ransomware operators like LockBit dwell in networks for weeks, map backup infrastructure, and time their encryption to maximize damage. For these scenarios, organizations need a recovery capability that is </w:t>
      </w:r>
      <w:r>
        <w:rPr>
          <w:rFonts w:ascii="Arial" w:cs="Arial" w:eastAsia="Arial" w:hAnsi="Arial"/>
          <w:b/>
          <w:bCs/>
          <w:color w:val="333333"/>
          <w:sz w:val="22"/>
          <w:szCs w:val="22"/>
        </w:rPr>
        <w:t xml:space="preserve">physically and logically unreachable by the attacker, forensically validated, and capable of restoring operations from a different geography if necessary</w:t>
      </w:r>
      <w:r>
        <w:rPr>
          <w:rFonts w:ascii="Arial" w:cs="Arial" w:eastAsia="Arial" w:hAnsi="Arial"/>
          <w:color w:val="333333"/>
          <w:sz w:val="22"/>
          <w:szCs w:val="22"/>
        </w:rPr>
        <w:t xml:space="preserve">.</w:t>
      </w:r>
    </w:p>
    <w:p>
      <w:pPr>
        <w:spacing w:after="160"/>
      </w:pPr>
      <w:r>
        <w:rPr>
          <w:rFonts w:ascii="Arial" w:cs="Arial" w:eastAsia="Arial" w:hAnsi="Arial"/>
          <w:color w:val="333333"/>
          <w:sz w:val="22"/>
          <w:szCs w:val="22"/>
        </w:rPr>
        <w:t xml:space="preserve">Dell PowerProtect Cyber Recovery is built on three pillars: </w:t>
      </w:r>
      <w:r>
        <w:rPr>
          <w:rFonts w:ascii="Arial" w:cs="Arial" w:eastAsia="Arial" w:hAnsi="Arial"/>
          <w:b/>
          <w:bCs/>
          <w:color w:val="333333"/>
          <w:sz w:val="22"/>
          <w:szCs w:val="22"/>
        </w:rPr>
        <w:t xml:space="preserve">isolation, intelligence, and recovery</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The Vault: Isolation That Attackers Cannot Reach</w:t>
      </w:r>
    </w:p>
    <w:p>
      <w:pPr>
        <w:spacing w:after="160"/>
      </w:pPr>
      <w:r>
        <w:rPr>
          <w:rFonts w:ascii="Arial" w:cs="Arial" w:eastAsia="Arial" w:hAnsi="Arial"/>
          <w:color w:val="333333"/>
          <w:sz w:val="22"/>
          <w:szCs w:val="22"/>
        </w:rPr>
        <w:t xml:space="preserve">The Cyber Recovery vault is not a backup. It is a physically or logically isolated environment with an automated operational air gap. The network link to production is disabled by policy except during narrow, controlled replication windows — typically minutes per day. When the air gap is locked, no SSH, HTTPS, or non-data traffic is permitted. Access requires separate security credentials and multi-factor authentication, operated by a dedicated security officer role.</w:t>
      </w:r>
    </w:p>
    <w:p>
      <w:pPr>
        <w:spacing w:after="160"/>
      </w:pPr>
      <w:r>
        <w:rPr>
          <w:rFonts w:ascii="Arial" w:cs="Arial" w:eastAsia="Arial" w:hAnsi="Arial"/>
          <w:color w:val="333333"/>
          <w:sz w:val="22"/>
          <w:szCs w:val="22"/>
        </w:rPr>
        <w:t xml:space="preserve">Retention Lock enforces data immutability at the hardware level on PowerProtect Data Domain. Data cannot be altered, deleted, or encrypted by any user or process — including administrators. The vault can be deployed on-premises or as a cloud-based vault in </w:t>
      </w:r>
      <w:r>
        <w:rPr>
          <w:rFonts w:ascii="Arial" w:cs="Arial" w:eastAsia="Arial" w:hAnsi="Arial"/>
          <w:b/>
          <w:bCs/>
          <w:color w:val="333333"/>
          <w:sz w:val="22"/>
          <w:szCs w:val="22"/>
        </w:rPr>
        <w:t xml:space="preserve">AWS, Azure, or GCP</w:t>
      </w:r>
      <w:r>
        <w:rPr>
          <w:rFonts w:ascii="Arial" w:cs="Arial" w:eastAsia="Arial" w:hAnsi="Arial"/>
          <w:color w:val="333333"/>
          <w:sz w:val="22"/>
          <w:szCs w:val="22"/>
        </w:rPr>
        <w:t xml:space="preserve"> within a secure VPC. Where regulation permits, vault copies can be replicated to an off-premises or cross-region location, enabling </w:t>
      </w:r>
      <w:r>
        <w:rPr>
          <w:rFonts w:ascii="Arial" w:cs="Arial" w:eastAsia="Arial" w:hAnsi="Arial"/>
          <w:b/>
          <w:bCs/>
          <w:color w:val="333333"/>
          <w:sz w:val="22"/>
          <w:szCs w:val="22"/>
        </w:rPr>
        <w:t xml:space="preserve">geographic resilience independent of the primary data center</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CyberSense: Intelligence That Validates Before You Restore</w:t>
      </w:r>
    </w:p>
    <w:p>
      <w:pPr>
        <w:spacing w:after="160"/>
      </w:pPr>
      <w:r>
        <w:rPr>
          <w:rFonts w:ascii="Arial" w:cs="Arial" w:eastAsia="Arial" w:hAnsi="Arial"/>
          <w:color w:val="333333"/>
          <w:sz w:val="22"/>
          <w:szCs w:val="22"/>
        </w:rPr>
        <w:t xml:space="preserve">CyberSense uses full-content analytics — not just metadata — to observe how data changes over time. Its ML models detect corruption patterns indicative of ransomware, including partial encryption, mass deletions, and subtle structural changes in databases and infrastructure files like Active Directory and DNS. Scans run inside the vault without rehydration, meaning the analysis happens in isolation where malware masking routines cannot interfere.</w:t>
      </w:r>
    </w:p>
    <w:p>
      <w:pPr>
        <w:spacing w:after="160"/>
      </w:pPr>
      <w:r>
        <w:rPr>
          <w:rFonts w:ascii="Arial" w:cs="Arial" w:eastAsia="Arial" w:hAnsi="Arial"/>
          <w:color w:val="333333"/>
          <w:sz w:val="22"/>
          <w:szCs w:val="22"/>
        </w:rPr>
        <w:t xml:space="preserve">Post-incident forensic reports identify blast radius, corrupted files, file owners, and last known good recovery points. This answers the most critical post-attack question: </w:t>
      </w:r>
      <w:r>
        <w:rPr>
          <w:rFonts w:ascii="Arial" w:cs="Arial" w:eastAsia="Arial" w:hAnsi="Arial"/>
          <w:b/>
          <w:bCs/>
          <w:i/>
          <w:iCs/>
          <w:color w:val="333333"/>
          <w:sz w:val="22"/>
          <w:szCs w:val="22"/>
        </w:rPr>
        <w:t xml:space="preserve">which copy of my data can I actually trust?</w:t>
      </w:r>
      <w:r>
        <w:rPr>
          <w:rFonts w:ascii="Arial" w:cs="Arial" w:eastAsia="Arial" w:hAnsi="Arial"/>
          <w:color w:val="333333"/>
          <w:sz w:val="22"/>
          <w:szCs w:val="22"/>
        </w:rPr>
        <w:t xml:space="preserve"> Detection accuracy is validated at 99.99% by ESG.</w:t>
      </w:r>
    </w:p>
    <w:p>
      <w:pPr>
        <w:spacing w:after="100" w:before="200"/>
      </w:pPr>
      <w:r>
        <w:rPr>
          <w:rFonts w:ascii="Arial" w:cs="Arial" w:eastAsia="Arial" w:hAnsi="Arial"/>
          <w:b/>
          <w:bCs/>
          <w:color w:val="1B3A5C"/>
          <w:sz w:val="24"/>
          <w:szCs w:val="24"/>
        </w:rPr>
        <w:t xml:space="preserve">Clean Room and Restart Room: The Path Back to Operations</w:t>
      </w:r>
    </w:p>
    <w:p>
      <w:pPr>
        <w:spacing w:after="160"/>
      </w:pPr>
      <w:r>
        <w:rPr>
          <w:rFonts w:ascii="Arial" w:cs="Arial" w:eastAsia="Arial" w:hAnsi="Arial"/>
          <w:color w:val="333333"/>
          <w:sz w:val="22"/>
          <w:szCs w:val="22"/>
        </w:rPr>
        <w:t xml:space="preserve">The </w:t>
      </w:r>
      <w:r>
        <w:rPr>
          <w:rFonts w:ascii="Arial" w:cs="Arial" w:eastAsia="Arial" w:hAnsi="Arial"/>
          <w:b/>
          <w:bCs/>
          <w:color w:val="333333"/>
          <w:sz w:val="22"/>
          <w:szCs w:val="22"/>
        </w:rPr>
        <w:t xml:space="preserve">Clean Room</w:t>
      </w:r>
      <w:r>
        <w:rPr>
          <w:rFonts w:ascii="Arial" w:cs="Arial" w:eastAsia="Arial" w:hAnsi="Arial"/>
          <w:color w:val="333333"/>
          <w:sz w:val="22"/>
          <w:szCs w:val="22"/>
        </w:rPr>
        <w:t xml:space="preserve"> is an isolated recovery environment within or adjacent to the vault. Applications are recovered and tested individually, verified free of malware and corruption before returning to production. It supports forensic investigation, compliance evidence preservation, and controlled restoration of business-critical systems.</w:t>
      </w:r>
    </w:p>
    <w:p>
      <w:pPr>
        <w:spacing w:after="160"/>
      </w:pPr>
      <w:r>
        <w:rPr>
          <w:rFonts w:ascii="Arial" w:cs="Arial" w:eastAsia="Arial" w:hAnsi="Arial"/>
          <w:color w:val="333333"/>
          <w:sz w:val="22"/>
          <w:szCs w:val="22"/>
        </w:rPr>
        <w:t xml:space="preserve">The </w:t>
      </w:r>
      <w:r>
        <w:rPr>
          <w:rFonts w:ascii="Arial" w:cs="Arial" w:eastAsia="Arial" w:hAnsi="Arial"/>
          <w:b/>
          <w:bCs/>
          <w:color w:val="333333"/>
          <w:sz w:val="22"/>
          <w:szCs w:val="22"/>
        </w:rPr>
        <w:t xml:space="preserve">Restart Room</w:t>
      </w:r>
      <w:r>
        <w:rPr>
          <w:rFonts w:ascii="Arial" w:cs="Arial" w:eastAsia="Arial" w:hAnsi="Arial"/>
          <w:color w:val="333333"/>
          <w:sz w:val="22"/>
          <w:szCs w:val="22"/>
        </w:rPr>
        <w:t xml:space="preserve"> goes further. It is a staging environment where minimum-viable-business applications can run temporarily, maintaining essential operations while production is rebuilt. For a pharmaceutical company, this could mean restarting regulatory submission workflows, clinical data management systems, or model inference pipelines from verified clean data. </w:t>
      </w:r>
      <w:r>
        <w:rPr>
          <w:rFonts w:ascii="Arial" w:cs="Arial" w:eastAsia="Arial" w:hAnsi="Arial"/>
          <w:b/>
          <w:bCs/>
          <w:color w:val="333333"/>
          <w:sz w:val="22"/>
          <w:szCs w:val="22"/>
        </w:rPr>
        <w:t xml:space="preserve">Critically, a Restart Room can be provisioned in cloud — enabling business continuity from a different geography when the primary site is compromised.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440" w:sz="6"/>
              <w:left w:val="single" w:color="0F2440" w:sz="6"/>
              <w:bottom w:val="single" w:color="0F2440" w:sz="6"/>
              <w:right w:val="single" w:color="0F2440" w:sz="6"/>
            </w:tcBorders>
            <w:shd w:fill="F0F4F8" w:val="clear"/>
            <w:tcMar>
              <w:top w:type="dxa" w:w="160"/>
              <w:left w:type="dxa" w:w="200"/>
              <w:bottom w:type="dxa" w:w="160"/>
              <w:right w:type="dxa" w:w="200"/>
            </w:tcMar>
          </w:tcPr>
          <w:p>
            <w:pPr>
              <w:spacing w:after="80"/>
            </w:pPr>
            <w:r>
              <w:rPr>
                <w:rFonts w:ascii="Arial" w:cs="Arial" w:eastAsia="Arial" w:hAnsi="Arial"/>
                <w:b/>
                <w:bCs/>
                <w:color w:val="0F2440"/>
                <w:sz w:val="22"/>
                <w:szCs w:val="22"/>
              </w:rPr>
              <w:t xml:space="preserve">INSIDE THE CYBER RECOVERY VAULT</w:t>
            </w:r>
          </w:p>
          <w:p>
            <w:pPr>
              <w:spacing w:after="120"/>
            </w:pPr>
            <w:r>
              <w:rPr>
                <w:rFonts w:ascii="Arial" w:cs="Arial" w:eastAsia="Arial" w:hAnsi="Arial"/>
                <w:b/>
                <w:bCs/>
                <w:color w:val="333333"/>
                <w:sz w:val="22"/>
                <w:szCs w:val="22"/>
              </w:rPr>
              <w:t xml:space="preserve">Architecture: </w:t>
            </w:r>
            <w:r>
              <w:rPr>
                <w:rFonts w:ascii="Arial" w:cs="Arial" w:eastAsia="Arial" w:hAnsi="Arial"/>
                <w:color w:val="333333"/>
                <w:sz w:val="22"/>
                <w:szCs w:val="22"/>
              </w:rPr>
              <w:t xml:space="preserve">On-premises appliance or cloud-based vault in AWS, Azure, or GCP within a secure VPC. The vault can be replicated off-premises or cross-region where regulation permits, enabling geographic resilience independent of the primary data center.</w:t>
            </w:r>
          </w:p>
          <w:p>
            <w:pPr>
              <w:spacing w:after="120"/>
            </w:pPr>
            <w:r>
              <w:rPr>
                <w:rFonts w:ascii="Arial" w:cs="Arial" w:eastAsia="Arial" w:hAnsi="Arial"/>
                <w:b/>
                <w:bCs/>
                <w:color w:val="333333"/>
                <w:sz w:val="22"/>
                <w:szCs w:val="22"/>
              </w:rPr>
              <w:t xml:space="preserve">Automated Air Gap: </w:t>
            </w:r>
            <w:r>
              <w:rPr>
                <w:rFonts w:ascii="Arial" w:cs="Arial" w:eastAsia="Arial" w:hAnsi="Arial"/>
                <w:color w:val="333333"/>
                <w:sz w:val="22"/>
                <w:szCs w:val="22"/>
              </w:rPr>
              <w:t xml:space="preserve">The network link to production is disabled by policy except during narrow, controlled replication windows. When the air gap is locked, no SSH, HTTPS, or non-data traffic is permitted. Access requires separate security credentials and multi-factor authentication.</w:t>
            </w:r>
          </w:p>
          <w:p>
            <w:pPr>
              <w:spacing w:after="120"/>
            </w:pPr>
            <w:r>
              <w:rPr>
                <w:rFonts w:ascii="Arial" w:cs="Arial" w:eastAsia="Arial" w:hAnsi="Arial"/>
                <w:b/>
                <w:bCs/>
                <w:color w:val="333333"/>
                <w:sz w:val="22"/>
                <w:szCs w:val="22"/>
              </w:rPr>
              <w:t xml:space="preserve">Immutability: </w:t>
            </w:r>
            <w:r>
              <w:rPr>
                <w:rFonts w:ascii="Arial" w:cs="Arial" w:eastAsia="Arial" w:hAnsi="Arial"/>
                <w:color w:val="333333"/>
                <w:sz w:val="22"/>
                <w:szCs w:val="22"/>
              </w:rPr>
              <w:t xml:space="preserve">Retention Lock (governance or compliance mode) enforces data immutability at the hardware level on PowerProtect Data Domain. Data cannot be altered, deleted, or encrypted by any user or process, including administrators.</w:t>
            </w:r>
          </w:p>
          <w:p>
            <w:pPr>
              <w:spacing w:after="120"/>
            </w:pPr>
            <w:r>
              <w:rPr>
                <w:rFonts w:ascii="Arial" w:cs="Arial" w:eastAsia="Arial" w:hAnsi="Arial"/>
                <w:b/>
                <w:bCs/>
                <w:color w:val="333333"/>
                <w:sz w:val="22"/>
                <w:szCs w:val="22"/>
              </w:rPr>
              <w:t xml:space="preserve">CyberSense Intelligence: </w:t>
            </w:r>
            <w:r>
              <w:rPr>
                <w:rFonts w:ascii="Arial" w:cs="Arial" w:eastAsia="Arial" w:hAnsi="Arial"/>
                <w:color w:val="333333"/>
                <w:sz w:val="22"/>
                <w:szCs w:val="22"/>
              </w:rPr>
              <w:t xml:space="preserve">Full-content analytics observe how data changes over time, using ML to detect corruption — including partial encryption, mass deletions, and subtle structural changes in databases and infrastructure files. Scans run inside the vault without rehydration, where malware masking routines cannot interfere. 99.99% detection accuracy validated by ESG.</w:t>
            </w:r>
          </w:p>
          <w:p>
            <w:pPr>
              <w:spacing w:after="120"/>
            </w:pPr>
            <w:r>
              <w:rPr>
                <w:rFonts w:ascii="Arial" w:cs="Arial" w:eastAsia="Arial" w:hAnsi="Arial"/>
                <w:b/>
                <w:bCs/>
                <w:color w:val="333333"/>
                <w:sz w:val="22"/>
                <w:szCs w:val="22"/>
              </w:rPr>
              <w:t xml:space="preserve">Clean Room: </w:t>
            </w:r>
            <w:r>
              <w:rPr>
                <w:rFonts w:ascii="Arial" w:cs="Arial" w:eastAsia="Arial" w:hAnsi="Arial"/>
                <w:color w:val="333333"/>
                <w:sz w:val="22"/>
                <w:szCs w:val="22"/>
              </w:rPr>
              <w:t xml:space="preserve">An isolated recovery environment within or adjacent to the vault where applications are recovered and tested individually, verified free of malware before returning to production. Supports forensic investigation and compliance evidence preservation.</w:t>
            </w:r>
          </w:p>
          <w:p>
            <w:pPr>
              <w:spacing w:after="0"/>
            </w:pPr>
            <w:r>
              <w:rPr>
                <w:rFonts w:ascii="Arial" w:cs="Arial" w:eastAsia="Arial" w:hAnsi="Arial"/>
                <w:b/>
                <w:bCs/>
                <w:color w:val="333333"/>
                <w:sz w:val="22"/>
                <w:szCs w:val="22"/>
              </w:rPr>
              <w:t xml:space="preserve">Restart Room: </w:t>
            </w:r>
            <w:r>
              <w:rPr>
                <w:rFonts w:ascii="Arial" w:cs="Arial" w:eastAsia="Arial" w:hAnsi="Arial"/>
                <w:color w:val="333333"/>
                <w:sz w:val="22"/>
                <w:szCs w:val="22"/>
              </w:rPr>
              <w:t xml:space="preserve">A staging environment where minimum-viable-business applications can run temporarily, maintaining essential operations while production is rebuilt. Can be provisioned in cloud for geographic continuity — resuming regulatory submissions, clinical data systems, or model inference from a different region.</w:t>
            </w:r>
          </w:p>
        </w:tc>
      </w:tr>
    </w:tbl>
    <w:p>
      <w:r>
        <w:br w:type="page"/>
      </w:r>
    </w:p>
    <w:p>
      <w:pPr>
        <w:pStyle w:val="Heading1"/>
      </w:pPr>
      <w:r>
        <w:t xml:space="preserve">Scenario: APT / LockBit 4.0 Attack on Phase 3 Clinical Trial Data</w:t>
      </w:r>
    </w:p>
    <w:p>
      <w:pPr>
        <w:spacing w:after="160"/>
      </w:pPr>
      <w:r>
        <w:rPr>
          <w:rFonts w:ascii="Arial" w:cs="Arial" w:eastAsia="Arial" w:hAnsi="Arial"/>
          <w:color w:val="333333"/>
          <w:sz w:val="22"/>
          <w:szCs w:val="22"/>
        </w:rPr>
        <w:t xml:space="preserve">The following scenario illustrates how the combined Superna + SIEM + Dell Cyber Recovery stack protects a Phase 3 drug candidate’s clinical trial infrastructure. Phase 3 trials typically represent </w:t>
      </w:r>
      <w:r>
        <w:rPr>
          <w:rFonts w:ascii="Arial" w:cs="Arial" w:eastAsia="Arial" w:hAnsi="Arial"/>
          <w:b/>
          <w:bCs/>
          <w:color w:val="333333"/>
          <w:sz w:val="22"/>
          <w:szCs w:val="22"/>
        </w:rPr>
        <w:t xml:space="preserve">$100M–$500M+ in accumulated investment</w:t>
      </w:r>
      <w:r>
        <w:rPr>
          <w:rFonts w:ascii="Arial" w:cs="Arial" w:eastAsia="Arial" w:hAnsi="Arial"/>
          <w:color w:val="333333"/>
          <w:sz w:val="22"/>
          <w:szCs w:val="22"/>
        </w:rPr>
        <w:t xml:space="preserve">, with each month of delay potentially deferring </w:t>
      </w:r>
      <w:r>
        <w:rPr>
          <w:rFonts w:ascii="Arial" w:cs="Arial" w:eastAsia="Arial" w:hAnsi="Arial"/>
          <w:b/>
          <w:bCs/>
          <w:color w:val="333333"/>
          <w:sz w:val="22"/>
          <w:szCs w:val="22"/>
        </w:rPr>
        <w:t xml:space="preserve">$30–$100M in peak-year revenue</w:t>
      </w:r>
      <w:r>
        <w:rPr>
          <w:rFonts w:ascii="Arial" w:cs="Arial" w:eastAsia="Arial" w:hAnsi="Arial"/>
          <w:color w:val="333333"/>
          <w:sz w:val="22"/>
          <w:szCs w:val="22"/>
        </w:rPr>
        <w:t xml:space="preserve"> for a blockbuster candidate. The data involved includes patient health information (PHI) subject to HIPAA and GDPR, proprietary AI models trained on that data, and regulatory submission drafts that represent years of work.</w:t>
      </w:r>
    </w:p>
    <w:p>
      <w:pPr>
        <w:spacing w:after="100" w:before="200"/>
      </w:pPr>
      <w:r>
        <w:rPr>
          <w:rFonts w:ascii="Arial" w:cs="Arial" w:eastAsia="Arial" w:hAnsi="Arial"/>
          <w:b/>
          <w:bCs/>
          <w:color w:val="1B3A5C"/>
          <w:sz w:val="24"/>
          <w:szCs w:val="24"/>
        </w:rPr>
        <w:t xml:space="preserve">Phase 1 — Initial Compromise (Week 0)</w:t>
      </w:r>
    </w:p>
    <w:p>
      <w:pPr>
        <w:spacing w:after="160"/>
      </w:pPr>
      <w:r>
        <w:rPr>
          <w:rFonts w:ascii="Arial" w:cs="Arial" w:eastAsia="Arial" w:hAnsi="Arial"/>
          <w:color w:val="333333"/>
          <w:sz w:val="22"/>
          <w:szCs w:val="22"/>
        </w:rPr>
        <w:t xml:space="preserve">An attacker gains access through a compromised researcher credential (spear-phishing). They establish persistence on the network and begin reconnaissance of PowerScale file shares containing Phase 3 datasets — patient records, efficacy data, regulatory drafts, and AI model training data derived from trial results. </w:t>
      </w:r>
      <w:r>
        <w:rPr>
          <w:rFonts w:ascii="Arial" w:cs="Arial" w:eastAsia="Arial" w:hAnsi="Arial"/>
          <w:i/>
          <w:iCs/>
          <w:color w:val="333333"/>
          <w:sz w:val="22"/>
          <w:szCs w:val="22"/>
        </w:rPr>
        <w:t xml:space="preserve">This activity is invisible to compute-layer security because no GPU workloads are involved.</w:t>
      </w:r>
    </w:p>
    <w:p>
      <w:pPr>
        <w:spacing w:after="100" w:before="200"/>
      </w:pPr>
      <w:r>
        <w:rPr>
          <w:rFonts w:ascii="Arial" w:cs="Arial" w:eastAsia="Arial" w:hAnsi="Arial"/>
          <w:b/>
          <w:bCs/>
          <w:color w:val="1B3A5C"/>
          <w:sz w:val="24"/>
          <w:szCs w:val="24"/>
        </w:rPr>
        <w:t xml:space="preserve">Phase 2 — Lateral Movement and Staging (Weeks 1–3)</w:t>
      </w:r>
    </w:p>
    <w:p>
      <w:pPr>
        <w:spacing w:after="160"/>
      </w:pPr>
      <w:r>
        <w:rPr>
          <w:rFonts w:ascii="Arial" w:cs="Arial" w:eastAsia="Arial" w:hAnsi="Arial"/>
          <w:color w:val="333333"/>
          <w:sz w:val="22"/>
          <w:szCs w:val="22"/>
        </w:rPr>
        <w:t xml:space="preserve">The attacker begins low-and-slow exfiltration of proprietary model weights and trial data through legitimate NFS access patterns. They stage ransomware payloads targeting both production PowerScale and backup infrastructure.</w:t>
      </w:r>
      <w:r>
        <w:rPr>
          <w:rFonts w:ascii="Arial" w:cs="Arial" w:eastAsia="Arial" w:hAnsi="Arial"/>
          <w:b/>
          <w:bCs/>
          <w:color w:val="333333"/>
          <w:sz w:val="22"/>
          <w:szCs w:val="22"/>
        </w:rPr>
        <w:t xml:space="preserve"> Superna detects the behavioral deviation</w:t>
      </w:r>
      <w:r>
        <w:rPr>
          <w:rFonts w:ascii="Arial" w:cs="Arial" w:eastAsia="Arial" w:hAnsi="Arial"/>
          <w:color w:val="333333"/>
          <w:sz w:val="22"/>
          <w:szCs w:val="22"/>
        </w:rPr>
        <w:t xml:space="preserve">: unusual bulk read volumes from the compromised account, off-hours access to restricted clinical datasets, and access pattern anomalies flagged against the researcher’s historical baseline. Superna alerts the SOC via SIEM integration. Automated policy locks the compromised account and snapshots the affected shares.</w:t>
      </w:r>
    </w:p>
    <w:p>
      <w:pPr>
        <w:spacing w:after="100" w:before="200"/>
      </w:pPr>
      <w:r>
        <w:rPr>
          <w:rFonts w:ascii="Arial" w:cs="Arial" w:eastAsia="Arial" w:hAnsi="Arial"/>
          <w:b/>
          <w:bCs/>
          <w:color w:val="1B3A5C"/>
          <w:sz w:val="24"/>
          <w:szCs w:val="24"/>
        </w:rPr>
        <w:t xml:space="preserve">Phase 3 — Containment Prevents Detonation</w:t>
      </w:r>
    </w:p>
    <w:p>
      <w:pPr>
        <w:spacing w:after="160"/>
      </w:pPr>
      <w:r>
        <w:rPr>
          <w:rFonts w:ascii="Arial" w:cs="Arial" w:eastAsia="Arial" w:hAnsi="Arial"/>
          <w:color w:val="333333"/>
          <w:sz w:val="22"/>
          <w:szCs w:val="22"/>
        </w:rPr>
        <w:t xml:space="preserve">Because Superna contained the threat at the storage layer, the ransomware payload never executes at scale. The attacker’s attempt to delete or encrypt backup snapshots is blocked by Superna Smart AirGap. Meanwhile, the Dell Cyber Recovery vault — air-gapped and isolated — was never reachable. CyberSense confirms vault copies are clean by comparing content-level integrity against historical baselines. </w:t>
      </w:r>
      <w:r>
        <w:rPr>
          <w:rFonts w:ascii="Arial" w:cs="Arial" w:eastAsia="Arial" w:hAnsi="Arial"/>
          <w:b/>
          <w:bCs/>
          <w:color w:val="333333"/>
          <w:sz w:val="22"/>
          <w:szCs w:val="22"/>
        </w:rPr>
        <w:t xml:space="preserve">The exfiltrated data volume is identified through Superna’s audit trail, enabling precise breach notification scoping under HIPAA’s 60-day rule.</w:t>
      </w:r>
    </w:p>
    <w:p>
      <w:pPr>
        <w:spacing w:after="100" w:before="200"/>
      </w:pPr>
      <w:r>
        <w:rPr>
          <w:rFonts w:ascii="Arial" w:cs="Arial" w:eastAsia="Arial" w:hAnsi="Arial"/>
          <w:b/>
          <w:bCs/>
          <w:color w:val="1B3A5C"/>
          <w:sz w:val="24"/>
          <w:szCs w:val="24"/>
        </w:rPr>
        <w:t xml:space="preserve">Phase 4 — Recovery and Continuity</w:t>
      </w:r>
    </w:p>
    <w:p>
      <w:pPr>
        <w:spacing w:after="160"/>
      </w:pPr>
      <w:r>
        <w:rPr>
          <w:rFonts w:ascii="Arial" w:cs="Arial" w:eastAsia="Arial" w:hAnsi="Arial"/>
          <w:color w:val="333333"/>
          <w:sz w:val="22"/>
          <w:szCs w:val="22"/>
        </w:rPr>
        <w:t xml:space="preserve">The incident response team uses the Cyber Recovery Clean Room to recover and verify affected clinical trial databases and AI model checkpoints in isolation before restoring to production. If the Boston data center were compromised — or faced a physical disruption — a cloud-based Restart Room in an EU cloud region could be provisioned from the off-premises vault replica. Regulatory submission preparation, clinical data management, and model inference resume from verified clean data in Europe. Novartis’s Basel operations provide natural geographic continuity, and the vault’s cross-region replication ensures the European Restart Room has current, CyberSense-validated data. The ObjectScale replication between Boston and Basel, monitored by Superna, provides an additional data path for continuity.</w:t>
      </w:r>
    </w:p>
    <w:p>
      <w:pPr>
        <w:spacing w:after="160"/>
      </w:pPr>
      <w:r>
        <w:rPr>
          <w:rFonts w:ascii="Arial" w:cs="Arial" w:eastAsia="Arial" w:hAnsi="Arial"/>
          <w:b/>
          <w:bCs/>
          <w:color w:val="333333"/>
          <w:sz w:val="22"/>
          <w:szCs w:val="22"/>
        </w:rPr>
        <w:t xml:space="preserve">What was protected:</w:t>
      </w:r>
    </w:p>
    <w:p>
      <w:pPr>
        <w:pStyle w:val="ListParagraph"/>
        <w:numPr>
          <w:ilvl w:val="0"/>
          <w:numId w:val="3"/>
        </w:numPr>
        <w:spacing w:after="80"/>
      </w:pPr>
      <w:r>
        <w:rPr>
          <w:rFonts w:ascii="Arial" w:cs="Arial" w:eastAsia="Arial" w:hAnsi="Arial"/>
          <w:b/>
          <w:bCs/>
          <w:color w:val="333333"/>
          <w:sz w:val="22"/>
          <w:szCs w:val="22"/>
        </w:rPr>
        <w:t xml:space="preserve">PHI: </w:t>
      </w:r>
      <w:r>
        <w:rPr>
          <w:rFonts w:ascii="Arial" w:cs="Arial" w:eastAsia="Arial" w:hAnsi="Arial"/>
          <w:color w:val="333333"/>
          <w:sz w:val="22"/>
          <w:szCs w:val="22"/>
        </w:rPr>
        <w:t xml:space="preserve">Patient data breach was contained to a scoped subset; audit trail enables precise HIPAA notification, avoiding the multi-million-dollar penalties and class-action exposure of an unscoped breach.</w:t>
      </w:r>
    </w:p>
    <w:p>
      <w:pPr>
        <w:pStyle w:val="ListParagraph"/>
        <w:numPr>
          <w:ilvl w:val="0"/>
          <w:numId w:val="3"/>
        </w:numPr>
        <w:spacing w:after="80"/>
      </w:pPr>
      <w:r>
        <w:rPr>
          <w:rFonts w:ascii="Arial" w:cs="Arial" w:eastAsia="Arial" w:hAnsi="Arial"/>
          <w:b/>
          <w:bCs/>
          <w:color w:val="333333"/>
          <w:sz w:val="22"/>
          <w:szCs w:val="22"/>
        </w:rPr>
        <w:t xml:space="preserve">IP: </w:t>
      </w:r>
      <w:r>
        <w:rPr>
          <w:rFonts w:ascii="Arial" w:cs="Arial" w:eastAsia="Arial" w:hAnsi="Arial"/>
          <w:color w:val="333333"/>
          <w:sz w:val="22"/>
          <w:szCs w:val="22"/>
        </w:rPr>
        <w:t xml:space="preserve">Proprietary model weights and training data exfiltration was limited to a quantifiable volume before Superna cut access. Competitive advantage and patent pipeline preserved.</w:t>
      </w:r>
    </w:p>
    <w:p>
      <w:pPr>
        <w:pStyle w:val="ListParagraph"/>
        <w:numPr>
          <w:ilvl w:val="0"/>
          <w:numId w:val="3"/>
        </w:numPr>
        <w:spacing w:after="80"/>
      </w:pPr>
      <w:r>
        <w:rPr>
          <w:rFonts w:ascii="Arial" w:cs="Arial" w:eastAsia="Arial" w:hAnsi="Arial"/>
          <w:b/>
          <w:bCs/>
          <w:color w:val="333333"/>
          <w:sz w:val="22"/>
          <w:szCs w:val="22"/>
        </w:rPr>
        <w:t xml:space="preserve">Dollars: </w:t>
      </w:r>
      <w:r>
        <w:rPr>
          <w:rFonts w:ascii="Arial" w:cs="Arial" w:eastAsia="Arial" w:hAnsi="Arial"/>
          <w:color w:val="333333"/>
          <w:sz w:val="22"/>
          <w:szCs w:val="22"/>
        </w:rPr>
        <w:t xml:space="preserve">The Phase 3 trial — representing $100M–$500M in accumulated investment — was not restarted. GPU infrastructure ($50M+) was not idled for weeks. Recovery took days, not the industry average of 24 days for ransomware incidents.</w:t>
      </w:r>
    </w:p>
    <w:p>
      <w:pPr>
        <w:pStyle w:val="ListParagraph"/>
        <w:numPr>
          <w:ilvl w:val="0"/>
          <w:numId w:val="3"/>
        </w:numPr>
        <w:spacing w:after="80"/>
      </w:pPr>
      <w:r>
        <w:rPr>
          <w:rFonts w:ascii="Arial" w:cs="Arial" w:eastAsia="Arial" w:hAnsi="Arial"/>
          <w:b/>
          <w:bCs/>
          <w:color w:val="333333"/>
          <w:sz w:val="22"/>
          <w:szCs w:val="22"/>
        </w:rPr>
        <w:t xml:space="preserve">Time to market: </w:t>
      </w:r>
      <w:r>
        <w:rPr>
          <w:rFonts w:ascii="Arial" w:cs="Arial" w:eastAsia="Arial" w:hAnsi="Arial"/>
          <w:color w:val="333333"/>
          <w:sz w:val="22"/>
          <w:szCs w:val="22"/>
        </w:rPr>
        <w:t xml:space="preserve">The FDA submission timeline held. Each month of delay on a blockbuster candidate can represent $30–$100M in deferred revenue. The Restart Room capability ensured regulatory submission preparation continued even during incident response.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What’s at Stake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Consequence of Loss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Patient data (PHI)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HIPAA/GDPR fines ($2M+ per violation category), class-action exposure, loss of patient trust, mandatory breach notification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Proprietary AI model weights &amp; 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Competitive moat destroyed, years of R&amp;D advantage lost, potential patent invalidity if models are leaked pre-filing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3 clinical trial datasets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FDA submission delayed months to years; each month of delay can represent $30–100M+ in deferred revenue for a blockbuster candidate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Regulatory submission drafts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Restarting submissions from scratch; missed filing windows; competitor advantage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Novartis operational systems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Business disruption averaging 24 days for ransomware incidents; research teams idle while 3,500+ GPUs sit unused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Research archives &amp; training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Years of curated, annotated, irreplaceable datasets lost; no dollar value can reconstruct historical patient cohorts</w:t>
            </w:r>
          </w:p>
        </w:tc>
      </w:tr>
    </w:tbl>
    <w:p>
      <w:r>
        <w:br w:type="page"/>
      </w:r>
    </w:p>
    <w:p>
      <w:pPr>
        <w:pStyle w:val="Heading1"/>
      </w:pPr>
      <w:r>
        <w:t xml:space="preserve">How the Pieces Fit Together</w:t>
      </w:r>
    </w:p>
    <w:p>
      <w:pPr>
        <w:spacing w:after="160"/>
      </w:pPr>
      <w:r>
        <w:rPr>
          <w:rFonts w:ascii="Arial" w:cs="Arial" w:eastAsia="Arial" w:hAnsi="Arial"/>
          <w:color w:val="333333"/>
          <w:sz w:val="22"/>
          <w:szCs w:val="22"/>
        </w:rPr>
        <w:t xml:space="preserve">Each layer addresses a distinct security domain. Together, they create comprehensive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660"/>
        <w:gridCol w:w="15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Domain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Superna</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Dell Cyber Recovery</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NVIDIA SuperPOD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Dell AI Data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Ransomware on storage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All tiers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Vault + Clean Room</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 poisoning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Scanner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CyberSense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Insider threat / exfiltration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Behavioral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Cross-site replication integrity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ObjectScale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Backup protection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AirGap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Isolated vault</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Automated containment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Instant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Clean recovery + verification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Clean Room</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Business continuity (Restart Room)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Cloud or on-prem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CR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Content forensics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Audit trail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CyberSense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Data-in-use encryption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Confidential Computing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Network anomaly detection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BlueField DPUs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 fluidity archive↔hot↔CMX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Native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Firmware attestation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Secure Flash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bl>
    <w:p>
      <w:pPr>
        <w:spacing w:after="200"/>
      </w:pPr>
    </w:p>
    <w:p>
      <w:pPr>
        <w:pStyle w:val="Heading2"/>
      </w:pPr>
      <w:r>
        <w:t xml:space="preserve">Full NIST Lifecycle Coverage</w:t>
      </w:r>
    </w:p>
    <w:p>
      <w:pPr>
        <w:pStyle w:val="ListParagraph"/>
        <w:numPr>
          <w:ilvl w:val="0"/>
          <w:numId w:val="4"/>
        </w:numPr>
        <w:spacing w:after="80"/>
      </w:pPr>
      <w:r>
        <w:rPr>
          <w:rFonts w:ascii="Arial" w:cs="Arial" w:eastAsia="Arial" w:hAnsi="Arial"/>
          <w:b/>
          <w:bCs/>
          <w:color w:val="333333"/>
          <w:sz w:val="22"/>
          <w:szCs w:val="22"/>
        </w:rPr>
        <w:t xml:space="preserve">Identify: </w:t>
      </w:r>
      <w:r>
        <w:rPr>
          <w:rFonts w:ascii="Arial" w:cs="Arial" w:eastAsia="Arial" w:hAnsi="Arial"/>
          <w:color w:val="333333"/>
          <w:sz w:val="22"/>
          <w:szCs w:val="22"/>
        </w:rPr>
        <w:t xml:space="preserve">Superna data classification, audit, behavioral baseline</w:t>
      </w:r>
    </w:p>
    <w:p>
      <w:pPr>
        <w:pStyle w:val="ListParagraph"/>
        <w:numPr>
          <w:ilvl w:val="0"/>
          <w:numId w:val="4"/>
        </w:numPr>
        <w:spacing w:after="80"/>
      </w:pPr>
      <w:r>
        <w:rPr>
          <w:rFonts w:ascii="Arial" w:cs="Arial" w:eastAsia="Arial" w:hAnsi="Arial"/>
          <w:b/>
          <w:bCs/>
          <w:color w:val="333333"/>
          <w:sz w:val="22"/>
          <w:szCs w:val="22"/>
        </w:rPr>
        <w:t xml:space="preserve">Protect: </w:t>
      </w:r>
      <w:r>
        <w:rPr>
          <w:rFonts w:ascii="Arial" w:cs="Arial" w:eastAsia="Arial" w:hAnsi="Arial"/>
          <w:color w:val="333333"/>
          <w:sz w:val="22"/>
          <w:szCs w:val="22"/>
        </w:rPr>
        <w:t xml:space="preserve">Superna Smart AirGap + Dell Cyber Recovery vault isolation + Dell AI Data Platform governance</w:t>
      </w:r>
    </w:p>
    <w:p>
      <w:pPr>
        <w:pStyle w:val="ListParagraph"/>
        <w:numPr>
          <w:ilvl w:val="0"/>
          <w:numId w:val="4"/>
        </w:numPr>
        <w:spacing w:after="80"/>
      </w:pPr>
      <w:r>
        <w:rPr>
          <w:rFonts w:ascii="Arial" w:cs="Arial" w:eastAsia="Arial" w:hAnsi="Arial"/>
          <w:b/>
          <w:bCs/>
          <w:color w:val="333333"/>
          <w:sz w:val="22"/>
          <w:szCs w:val="22"/>
        </w:rPr>
        <w:t xml:space="preserve">Detect: </w:t>
      </w:r>
      <w:r>
        <w:rPr>
          <w:rFonts w:ascii="Arial" w:cs="Arial" w:eastAsia="Arial" w:hAnsi="Arial"/>
          <w:color w:val="333333"/>
          <w:sz w:val="22"/>
          <w:szCs w:val="22"/>
        </w:rPr>
        <w:t xml:space="preserve">Superna real-time cross-tier detection + CyberSense deep content analytics in the vault</w:t>
      </w:r>
    </w:p>
    <w:p>
      <w:pPr>
        <w:pStyle w:val="ListParagraph"/>
        <w:numPr>
          <w:ilvl w:val="0"/>
          <w:numId w:val="4"/>
        </w:numPr>
        <w:spacing w:after="80"/>
      </w:pPr>
      <w:r>
        <w:rPr>
          <w:rFonts w:ascii="Arial" w:cs="Arial" w:eastAsia="Arial" w:hAnsi="Arial"/>
          <w:b/>
          <w:bCs/>
          <w:color w:val="333333"/>
          <w:sz w:val="22"/>
          <w:szCs w:val="22"/>
        </w:rPr>
        <w:t xml:space="preserve">Respond: </w:t>
      </w:r>
      <w:r>
        <w:rPr>
          <w:rFonts w:ascii="Arial" w:cs="Arial" w:eastAsia="Arial" w:hAnsi="Arial"/>
          <w:color w:val="333333"/>
          <w:sz w:val="22"/>
          <w:szCs w:val="22"/>
        </w:rPr>
        <w:t xml:space="preserve">Superna automated containment + SIEM/SOAR integration + incident scoping via audit trail</w:t>
      </w:r>
    </w:p>
    <w:p>
      <w:pPr>
        <w:pStyle w:val="ListParagraph"/>
        <w:numPr>
          <w:ilvl w:val="0"/>
          <w:numId w:val="4"/>
        </w:numPr>
        <w:spacing w:after="80"/>
      </w:pPr>
      <w:r>
        <w:rPr>
          <w:rFonts w:ascii="Arial" w:cs="Arial" w:eastAsia="Arial" w:hAnsi="Arial"/>
          <w:b/>
          <w:bCs/>
          <w:color w:val="333333"/>
          <w:sz w:val="22"/>
          <w:szCs w:val="22"/>
        </w:rPr>
        <w:t xml:space="preserve">Recover: </w:t>
      </w:r>
      <w:r>
        <w:rPr>
          <w:rFonts w:ascii="Arial" w:cs="Arial" w:eastAsia="Arial" w:hAnsi="Arial"/>
          <w:color w:val="333333"/>
          <w:sz w:val="22"/>
          <w:szCs w:val="22"/>
        </w:rPr>
        <w:t xml:space="preserve">Superna instant snapshot restore + Dell Cyber Recovery vault + Clean Room verification + Restart Room for business continuity</w:t>
      </w:r>
    </w:p>
    <w:p>
      <w:r>
        <w:br w:type="page"/>
      </w:r>
    </w:p>
    <w:p>
      <w:pPr>
        <w:pStyle w:val="Heading1"/>
      </w:pPr>
      <w:r>
        <w:t xml:space="preserve">Why Dell Lightning File System Strengthens the Whole Story</w:t>
      </w:r>
    </w:p>
    <w:p>
      <w:pPr>
        <w:spacing w:after="160"/>
      </w:pPr>
      <w:r>
        <w:rPr>
          <w:rFonts w:ascii="Arial" w:cs="Arial" w:eastAsia="Arial" w:hAnsi="Arial"/>
          <w:color w:val="333333"/>
          <w:sz w:val="22"/>
          <w:szCs w:val="22"/>
        </w:rPr>
        <w:t xml:space="preserve">Where the Dell AI Data Platform adds unique value is in connecting the high-performance tier to the rest of the data estate — and in extending consistent cyber resilience coverage across the full pipeline.</w:t>
      </w:r>
    </w:p>
    <w:p>
      <w:pPr>
        <w:pStyle w:val="ListParagraph"/>
        <w:numPr>
          <w:ilvl w:val="0"/>
          <w:numId w:val="5"/>
        </w:numPr>
        <w:spacing w:after="80"/>
      </w:pPr>
      <w:r>
        <w:rPr>
          <w:rFonts w:ascii="Arial" w:cs="Arial" w:eastAsia="Arial" w:hAnsi="Arial"/>
          <w:b/>
          <w:bCs/>
          <w:color w:val="333333"/>
          <w:sz w:val="22"/>
          <w:szCs w:val="22"/>
        </w:rPr>
        <w:t xml:space="preserve">Data fluidity across tiers: </w:t>
      </w:r>
      <w:r>
        <w:rPr>
          <w:rFonts w:ascii="Arial" w:cs="Arial" w:eastAsia="Arial" w:hAnsi="Arial"/>
          <w:color w:val="333333"/>
          <w:sz w:val="22"/>
          <w:szCs w:val="22"/>
        </w:rPr>
        <w:t xml:space="preserve">Lightning, PowerScale, and object storage run on common Dell Exascale Storage hardware. Data moves from archive to GPU-hot access and into NVIDIA CMX context caches without separate infrastructure.</w:t>
      </w:r>
    </w:p>
    <w:p>
      <w:pPr>
        <w:pStyle w:val="ListParagraph"/>
        <w:numPr>
          <w:ilvl w:val="0"/>
          <w:numId w:val="5"/>
        </w:numPr>
        <w:spacing w:after="80"/>
      </w:pPr>
      <w:r>
        <w:rPr>
          <w:rFonts w:ascii="Arial" w:cs="Arial" w:eastAsia="Arial" w:hAnsi="Arial"/>
          <w:b/>
          <w:bCs/>
          <w:color w:val="333333"/>
          <w:sz w:val="22"/>
          <w:szCs w:val="22"/>
        </w:rPr>
        <w:t xml:space="preserve">Unified Exascale platform: </w:t>
      </w:r>
      <w:r>
        <w:rPr>
          <w:rFonts w:ascii="Arial" w:cs="Arial" w:eastAsia="Arial" w:hAnsi="Arial"/>
          <w:color w:val="333333"/>
          <w:sz w:val="22"/>
          <w:szCs w:val="22"/>
        </w:rPr>
        <w:t xml:space="preserve">The only 3-in-1 platform deploying file, object, and parallel file system engines on common PowerEdge servers — up to 6 TB/s per rack.</w:t>
      </w:r>
    </w:p>
    <w:p>
      <w:pPr>
        <w:pStyle w:val="ListParagraph"/>
        <w:numPr>
          <w:ilvl w:val="0"/>
          <w:numId w:val="5"/>
        </w:numPr>
        <w:spacing w:after="80"/>
      </w:pPr>
      <w:r>
        <w:rPr>
          <w:rFonts w:ascii="Arial" w:cs="Arial" w:eastAsia="Arial" w:hAnsi="Arial"/>
          <w:b/>
          <w:bCs/>
          <w:color w:val="333333"/>
          <w:sz w:val="22"/>
          <w:szCs w:val="22"/>
        </w:rPr>
        <w:t xml:space="preserve">End-to-end Superna coverage: </w:t>
      </w:r>
      <w:r>
        <w:rPr>
          <w:rFonts w:ascii="Arial" w:cs="Arial" w:eastAsia="Arial" w:hAnsi="Arial"/>
          <w:color w:val="333333"/>
          <w:sz w:val="22"/>
          <w:szCs w:val="22"/>
        </w:rPr>
        <w:t xml:space="preserve">The same console that watches PowerScale also watches the GPU-hot tier. No separate security tooling, no coverage gaps.</w:t>
      </w:r>
    </w:p>
    <w:p>
      <w:pPr>
        <w:pStyle w:val="ListParagraph"/>
        <w:numPr>
          <w:ilvl w:val="0"/>
          <w:numId w:val="5"/>
        </w:numPr>
        <w:spacing w:after="80"/>
      </w:pPr>
      <w:r>
        <w:rPr>
          <w:rFonts w:ascii="Arial" w:cs="Arial" w:eastAsia="Arial" w:hAnsi="Arial"/>
          <w:b/>
          <w:bCs/>
          <w:color w:val="333333"/>
          <w:sz w:val="22"/>
          <w:szCs w:val="22"/>
        </w:rPr>
        <w:t xml:space="preserve">Extreme performance: </w:t>
      </w:r>
      <w:r>
        <w:rPr>
          <w:rFonts w:ascii="Arial" w:cs="Arial" w:eastAsia="Arial" w:hAnsi="Arial"/>
          <w:color w:val="333333"/>
          <w:sz w:val="22"/>
          <w:szCs w:val="22"/>
        </w:rPr>
        <w:t xml:space="preserve">Up to 150 GB/s per rack, 20× greater IOPS than traditional scale-out flash, 2× throughput per rack unit.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THE RESILIENCE ADVANTAGE</w:t>
            </w:r>
          </w:p>
          <w:p>
            <w:r>
              <w:rPr>
                <w:rFonts w:ascii="Arial" w:cs="Arial" w:eastAsia="Arial" w:hAnsi="Arial"/>
                <w:color w:val="333333"/>
                <w:sz w:val="22"/>
                <w:szCs w:val="22"/>
              </w:rPr>
              <w:t xml:space="preserve">When every storage tier shares a common Dell AI Data Platform framework, the entire data pipeline benefits from unified cyber resilience — from Superna’s real-time detection through Dell Cyber Recovery’s vault, Clean Room, and Restart Room. This level of end-to-end consistency is significantly easier to achieve than when the parallel file system is a standalone island.</w:t>
            </w:r>
          </w:p>
        </w:tc>
      </w:tr>
    </w:tbl>
    <w:p>
      <w:r>
        <w:br w:type="page"/>
      </w:r>
    </w:p>
    <w:p>
      <w:pPr>
        <w:pStyle w:val="Heading1"/>
      </w:pPr>
      <w:r>
        <w:t xml:space="preserve">Bringing It All Together</w:t>
      </w:r>
    </w:p>
    <w:p>
      <w:pPr>
        <w:spacing w:after="160"/>
      </w:pPr>
      <w:r>
        <w:rPr>
          <w:rFonts w:ascii="Arial" w:cs="Arial" w:eastAsia="Arial" w:hAnsi="Arial"/>
          <w:color w:val="333333"/>
          <w:sz w:val="22"/>
          <w:szCs w:val="22"/>
        </w:rPr>
        <w:t xml:space="preserve">NVIDIA has built one of the most secure accelerated compute platforms in the world. The opportunity is to bring that same standard of care to the data estate that feeds it.</w:t>
      </w:r>
    </w:p>
    <w:p>
      <w:pPr>
        <w:spacing w:after="160"/>
      </w:pPr>
      <w:r>
        <w:rPr>
          <w:rFonts w:ascii="Arial" w:cs="Arial" w:eastAsia="Arial" w:hAnsi="Arial"/>
          <w:b/>
          <w:bCs/>
          <w:color w:val="333333"/>
          <w:sz w:val="22"/>
          <w:szCs w:val="22"/>
        </w:rPr>
        <w:t xml:space="preserve">Dell’s partnership with NVIDIA</w:t>
      </w:r>
      <w:r>
        <w:rPr>
          <w:rFonts w:ascii="Arial" w:cs="Arial" w:eastAsia="Arial" w:hAnsi="Arial"/>
          <w:color w:val="333333"/>
          <w:sz w:val="22"/>
          <w:szCs w:val="22"/>
        </w:rPr>
        <w:t xml:space="preserve"> provides the foundation for this complete resilience posture. NVIDIA delivers world-class compute-layer security. Dell delivers the AI Data Platform, storage, Cyber Recovery vault, and professional services. Markley provides systems integration expertise for the Boston SuperPOD. Superna provides the real-time detection layer that ties storage security together across every platform in the data mesh. As Novartis scales from initial SuperPOD seeds to a broader Dell AI Factory, this architecture grows naturally — the same tools, the same consoles, the same recovery vault, expanding to cover new capacity and workloads.</w:t>
      </w:r>
    </w:p>
    <w:p>
      <w:pPr>
        <w:spacing w:after="160"/>
      </w:pPr>
      <w:r>
        <w:rPr>
          <w:rFonts w:ascii="Arial" w:cs="Arial" w:eastAsia="Arial" w:hAnsi="Arial"/>
          <w:color w:val="333333"/>
          <w:sz w:val="22"/>
          <w:szCs w:val="22"/>
        </w:rPr>
        <w:t xml:space="preserve">The Dell AI Data Platform provides data fluidity. Superna provides real-time detection and automated containment. Dell Cyber Recovery provides the air-gapped vault, CyberSense forensics, Clean Room verification, and Restart Room continuity — with the ability to replicate the vault off-premises for geographic resilience. Together with NVIDIA’s compute-layer protections, they form a complete, layered defense.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1B3A5C" w:val="clear"/>
            <w:tcMar>
              <w:top w:type="dxa" w:w="200"/>
              <w:left w:type="dxa" w:w="240"/>
              <w:bottom w:type="dxa" w:w="200"/>
              <w:right w:type="dxa" w:w="240"/>
            </w:tcMar>
          </w:tcPr>
          <w:p>
            <w:pPr>
              <w:spacing w:after="160"/>
              <w:jc w:val="center"/>
            </w:pPr>
            <w:r>
              <w:rPr>
                <w:rFonts w:ascii="Arial" w:cs="Arial" w:eastAsia="Arial" w:hAnsi="Arial"/>
                <w:b/>
                <w:bCs/>
                <w:color w:val="FFFFFF"/>
                <w:sz w:val="26"/>
                <w:szCs w:val="26"/>
              </w:rPr>
              <w:t xml:space="preserve">NVIDIA secures the computation.</w:t>
            </w:r>
          </w:p>
          <w:p>
            <w:pPr>
              <w:spacing w:after="160"/>
              <w:jc w:val="center"/>
            </w:pPr>
            <w:r>
              <w:rPr>
                <w:rFonts w:ascii="Arial" w:cs="Arial" w:eastAsia="Arial" w:hAnsi="Arial"/>
                <w:b/>
                <w:bCs/>
                <w:color w:val="FFFFFF"/>
                <w:sz w:val="26"/>
                <w:szCs w:val="26"/>
              </w:rPr>
              <w:t xml:space="preserve">The Dell AI Data Platform powers the data.</w:t>
            </w:r>
          </w:p>
          <w:p>
            <w:pPr>
              <w:spacing w:after="160"/>
              <w:jc w:val="center"/>
            </w:pPr>
            <w:r>
              <w:rPr>
                <w:rFonts w:ascii="Arial" w:cs="Arial" w:eastAsia="Arial" w:hAnsi="Arial"/>
                <w:b/>
                <w:bCs/>
                <w:color w:val="FFFFFF"/>
                <w:sz w:val="26"/>
                <w:szCs w:val="26"/>
              </w:rPr>
              <w:t xml:space="preserve">Superna watches every transition.</w:t>
            </w:r>
          </w:p>
          <w:p>
            <w:pPr>
              <w:spacing w:after="160"/>
              <w:jc w:val="center"/>
            </w:pPr>
            <w:r>
              <w:rPr>
                <w:rFonts w:ascii="Arial" w:cs="Arial" w:eastAsia="Arial" w:hAnsi="Arial"/>
                <w:b/>
                <w:bCs/>
                <w:color w:val="FFFFFF"/>
                <w:sz w:val="26"/>
                <w:szCs w:val="26"/>
              </w:rPr>
              <w:t xml:space="preserve">Dell Cyber Recovery guarantees the path back.</w:t>
            </w:r>
          </w:p>
          <w:p>
            <w:pPr>
              <w:spacing w:after="160"/>
              <w:jc w:val="center"/>
            </w:pPr>
            <w:r>
              <w:rPr>
                <w:rFonts w:ascii="Arial" w:cs="Arial" w:eastAsia="Arial" w:hAnsi="Arial"/>
                <w:color w:val="A0C4E8"/>
                <w:sz w:val="26"/>
                <w:szCs w:val="26"/>
              </w:rPr>
              <w:t xml:space="preserve">—</w:t>
            </w:r>
          </w:p>
          <w:p>
            <w:pPr>
              <w:jc w:val="center"/>
            </w:pPr>
            <w:r>
              <w:rPr>
                <w:rFonts w:ascii="Arial" w:cs="Arial" w:eastAsia="Arial" w:hAnsi="Arial"/>
                <w:i/>
                <w:iCs/>
                <w:color w:val="A0C4E8"/>
                <w:sz w:val="26"/>
                <w:szCs w:val="26"/>
              </w:rPr>
              <w:t xml:space="preserve">Together, a resilience posture that grows with Novartis’s science.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i/>
        <w:iCs/>
        <w:color w:val="757575"/>
        <w:sz w:val="18"/>
        <w:szCs w:val="18"/>
      </w:rPr>
      <w:t xml:space="preserve">Novartis — Cyber Resilience for the AI Factory</w:t>
    </w:r>
    <w:r>
      <w:rPr>
        <w:rFonts w:ascii="Arial" w:cs="Arial" w:eastAsia="Arial" w:hAnsi="Arial"/>
        <w:i/>
        <w:iCs/>
        <w:color w:val="75757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8"/>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2026-03-24T08:36:53.513Z</dcterms:created>
  <dcterms:modified xsi:type="dcterms:W3CDTF">2026-03-24T08:36:53.513Z</dcterms:modified>
</cp:coreProperties>
</file>

<file path=docProps/custom.xml><?xml version="1.0" encoding="utf-8"?>
<Properties xmlns="http://schemas.openxmlformats.org/officeDocument/2006/custom-properties" xmlns:vt="http://schemas.openxmlformats.org/officeDocument/2006/docPropsVTypes"/>
</file>