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color w:val="757575"/>
          <w:spacing w:val="200"/>
          <w:sz w:val="28"/>
          <w:szCs w:val="28"/>
        </w:rPr>
        <w:t xml:space="preserve">CYBER RESILIENCE FOR THE</w:t>
      </w:r>
    </w:p>
    <w:p>
      <w:pPr>
        <w:spacing w:after="200"/>
        <w:jc w:val="center"/>
      </w:pPr>
      <w:r>
        <w:rPr>
          <w:rFonts w:ascii="Arial" w:cs="Arial" w:eastAsia="Arial" w:hAnsi="Arial"/>
          <w:b/>
          <w:bCs/>
          <w:color w:val="1B3A5C"/>
          <w:sz w:val="72"/>
          <w:szCs w:val="72"/>
        </w:rPr>
        <w:t xml:space="preserve">AI FACTORY</w:t>
      </w:r>
    </w:p>
    <w:p>
      <w:pPr>
        <w:pBdr>
          <w:bottom w:val="single" w:color="2E75B6" w:sz="8" w:space="16"/>
        </w:pBdr>
        <w:spacing w:after="400"/>
        <w:jc w:val="center"/>
      </w:pPr>
    </w:p>
    <w:p>
      <w:pPr>
        <w:spacing w:after="200"/>
        <w:jc w:val="center"/>
      </w:pPr>
      <w:r>
        <w:rPr>
          <w:rFonts w:ascii="Arial" w:cs="Arial" w:eastAsia="Arial" w:hAnsi="Arial"/>
          <w:color w:val="2E75B6"/>
          <w:sz w:val="28"/>
          <w:szCs w:val="28"/>
        </w:rPr>
        <w:t xml:space="preserve">Protecting Breakthrough Science When the Stakes</w:t>
      </w:r>
    </w:p>
    <w:p>
      <w:pPr>
        <w:spacing w:after="200"/>
        <w:jc w:val="center"/>
      </w:pPr>
      <w:r>
        <w:rPr>
          <w:rFonts w:ascii="Arial" w:cs="Arial" w:eastAsia="Arial" w:hAnsi="Arial"/>
          <w:color w:val="2E75B6"/>
          <w:sz w:val="28"/>
          <w:szCs w:val="28"/>
        </w:rPr>
        <w:t xml:space="preserve">Are Measured in Years of Discovery, Not Just Dollars</w:t>
      </w:r>
    </w:p>
    <w:p>
      <w:pPr>
        <w:spacing w:after="400"/>
      </w:pPr>
    </w:p>
    <w:p>
      <w:pPr>
        <w:spacing w:after="120"/>
        <w:jc w:val="center"/>
      </w:pPr>
      <w:r>
        <w:rPr>
          <w:rFonts w:ascii="Arial" w:cs="Arial" w:eastAsia="Arial" w:hAnsi="Arial"/>
          <w:b/>
          <w:bCs/>
          <w:color w:val="1B3A5C"/>
          <w:sz w:val="26"/>
          <w:szCs w:val="26"/>
        </w:rPr>
        <w:t xml:space="preserve">Prepared for Roche</w:t>
      </w:r>
    </w:p>
    <w:p>
      <w:pPr>
        <w:spacing w:after="300"/>
      </w:pPr>
    </w:p>
    <w:p>
      <w:pPr>
        <w:spacing w:after="120"/>
        <w:jc w:val="center"/>
      </w:pPr>
      <w:r>
        <w:rPr>
          <w:rFonts w:ascii="Arial" w:cs="Arial" w:eastAsia="Arial" w:hAnsi="Arial"/>
          <w:color w:val="757575"/>
          <w:sz w:val="22"/>
          <w:szCs w:val="22"/>
        </w:rPr>
        <w:t xml:space="preserve">An end-to-end cyber resilience strategy for the Roche DGX SuperPOD program</w:t>
      </w:r>
    </w:p>
    <w:p>
      <w:pPr>
        <w:spacing w:after="120"/>
        <w:jc w:val="center"/>
      </w:pPr>
      <w:r>
        <w:rPr>
          <w:rFonts w:ascii="Arial" w:cs="Arial" w:eastAsia="Arial" w:hAnsi="Arial"/>
          <w:color w:val="757575"/>
          <w:sz w:val="22"/>
          <w:szCs w:val="22"/>
        </w:rPr>
        <w:t xml:space="preserve">powered by the Dell AI Data Platform, Superna Cyberstorage,</w:t>
      </w:r>
    </w:p>
    <w:p>
      <w:pPr>
        <w:spacing w:after="120"/>
        <w:jc w:val="center"/>
      </w:pPr>
      <w:r>
        <w:rPr>
          <w:rFonts w:ascii="Arial" w:cs="Arial" w:eastAsia="Arial" w:hAnsi="Arial"/>
          <w:color w:val="757575"/>
          <w:sz w:val="22"/>
          <w:szCs w:val="22"/>
        </w:rPr>
        <w:t xml:space="preserve">and Dell PowerProtect Cyber Recovery</w:t>
      </w:r>
    </w:p>
    <w:p>
      <w:pPr>
        <w:spacing w:after="800"/>
      </w:pPr>
    </w:p>
    <w:p>
      <w:pPr>
        <w:spacing w:after="60"/>
        <w:jc w:val="center"/>
      </w:pPr>
      <w:r>
        <w:rPr>
          <w:rFonts w:ascii="Arial" w:cs="Arial" w:eastAsia="Arial" w:hAnsi="Arial"/>
          <w:color w:val="757575"/>
          <w:spacing w:val="160"/>
          <w:sz w:val="20"/>
          <w:szCs w:val="20"/>
        </w:rPr>
        <w:t xml:space="preserve">CONFIDENTIAL</w:t>
      </w:r>
    </w:p>
    <w:p>
      <w:pPr>
        <w:jc w:val="center"/>
      </w:pPr>
      <w:r>
        <w:rPr>
          <w:rFonts w:ascii="Arial" w:cs="Arial" w:eastAsia="Arial" w:hAnsi="Arial"/>
          <w:color w:val="75757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Accelerating Science Raises the Stakes for Everyone</w:t>
      </w:r>
    </w:p>
    <w:p>
      <w:pPr>
        <w:spacing w:after="160"/>
      </w:pPr>
      <w:r>
        <w:rPr>
          <w:rFonts w:ascii="Arial" w:cs="Arial" w:eastAsia="Arial" w:hAnsi="Arial"/>
          <w:color w:val="333333"/>
          <w:sz w:val="22"/>
          <w:szCs w:val="22"/>
        </w:rPr>
        <w:t xml:space="preserve">Roche’s DGX SuperPOD program — spanning </w:t>
      </w:r>
      <w:r>
        <w:rPr>
          <w:rFonts w:ascii="Arial" w:cs="Arial" w:eastAsia="Arial" w:hAnsi="Arial"/>
          <w:b/>
          <w:bCs/>
          <w:color w:val="333333"/>
          <w:sz w:val="22"/>
          <w:szCs w:val="22"/>
        </w:rPr>
        <w:t xml:space="preserve">3,500 NVIDIA Blackwell GPUs across US and EMEA deployments</w:t>
      </w:r>
      <w:r>
        <w:rPr>
          <w:rFonts w:ascii="Arial" w:cs="Arial" w:eastAsia="Arial" w:hAnsi="Arial"/>
          <w:color w:val="333333"/>
          <w:sz w:val="22"/>
          <w:szCs w:val="22"/>
        </w:rPr>
        <w:t xml:space="preserve"> — represents one of the most ambitious commitments to AI-accelerated pharmaceutical research in the industry. It will compress years of discovery into weeks. That is something worth celebrating — and worth protecting.</w:t>
      </w:r>
    </w:p>
    <w:p>
      <w:pPr>
        <w:spacing w:after="160"/>
      </w:pPr>
      <w:r>
        <w:rPr>
          <w:rFonts w:ascii="Arial" w:cs="Arial" w:eastAsia="Arial" w:hAnsi="Arial"/>
          <w:color w:val="333333"/>
          <w:sz w:val="22"/>
          <w:szCs w:val="22"/>
        </w:rPr>
        <w:t xml:space="preserve">The challenge is straightforward: </w:t>
      </w:r>
      <w:r>
        <w:rPr>
          <w:rFonts w:ascii="Arial" w:cs="Arial" w:eastAsia="Arial" w:hAnsi="Arial"/>
          <w:b/>
          <w:bCs/>
          <w:color w:val="333333"/>
          <w:sz w:val="22"/>
          <w:szCs w:val="22"/>
        </w:rPr>
        <w:t xml:space="preserve">the more valuable the science becomes, the more it attracts attention</w:t>
      </w:r>
      <w:r>
        <w:rPr>
          <w:rFonts w:ascii="Arial" w:cs="Arial" w:eastAsia="Arial" w:hAnsi="Arial"/>
          <w:color w:val="333333"/>
          <w:sz w:val="22"/>
          <w:szCs w:val="22"/>
        </w:rPr>
        <w:t xml:space="preserve">. A protein-folding model that took weeks and thousands of GPUs to train represents a competitive moat, a patent pipeline, a regulatory submission. As the value of Roche’s AI-driven research grows, so does the importance of ensuring the data and models behind it are resilient against disruption.</w:t>
      </w:r>
    </w:p>
    <w:p>
      <w:pPr>
        <w:spacing w:after="160"/>
      </w:pPr>
      <w:r>
        <w:rPr>
          <w:rFonts w:ascii="Arial" w:cs="Arial" w:eastAsia="Arial" w:hAnsi="Arial"/>
          <w:color w:val="333333"/>
          <w:sz w:val="22"/>
          <w:szCs w:val="22"/>
        </w:rPr>
        <w:t xml:space="preserve">NVIDIA has done an exceptional job securing the compute layer. Confidential Computing, encrypted GPU memory, firmware attestation, and BlueField DPU defenses are purposefully engineered for data </w:t>
      </w:r>
      <w:r>
        <w:rPr>
          <w:rFonts w:ascii="Arial" w:cs="Arial" w:eastAsia="Arial" w:hAnsi="Arial"/>
          <w:i/>
          <w:iCs/>
          <w:color w:val="333333"/>
          <w:sz w:val="22"/>
          <w:szCs w:val="22"/>
        </w:rPr>
        <w:t xml:space="preserve">during computation</w:t>
      </w:r>
      <w:r>
        <w:rPr>
          <w:rFonts w:ascii="Arial" w:cs="Arial" w:eastAsia="Arial" w:hAnsi="Arial"/>
          <w:color w:val="333333"/>
          <w:sz w:val="22"/>
          <w:szCs w:val="22"/>
        </w:rPr>
        <w:t xml:space="preserve">. This document, brought together through the collaboration of </w:t>
      </w:r>
      <w:r>
        <w:rPr>
          <w:rFonts w:ascii="Arial" w:cs="Arial" w:eastAsia="Arial" w:hAnsi="Arial"/>
          <w:b/>
          <w:bCs/>
          <w:color w:val="333333"/>
          <w:sz w:val="22"/>
          <w:szCs w:val="22"/>
        </w:rPr>
        <w:t xml:space="preserve">NVIDIA, Dell Technologies, and WWT</w:t>
      </w:r>
      <w:r>
        <w:rPr>
          <w:rFonts w:ascii="Arial" w:cs="Arial" w:eastAsia="Arial" w:hAnsi="Arial"/>
          <w:color w:val="333333"/>
          <w:sz w:val="22"/>
          <w:szCs w:val="22"/>
        </w:rPr>
        <w:t xml:space="preserve">, focuses on the complementary question: how do we extend that same level of protection to the broader data lifecycle?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900" w:sz="6"/>
              <w:left w:val="single" w:color="BF6900" w:sz="6"/>
              <w:bottom w:val="single" w:color="BF6900" w:sz="6"/>
              <w:right w:val="single" w:color="BF6900" w:sz="6"/>
            </w:tcBorders>
            <w:shd w:fill="FFF9F0" w:val="clear"/>
            <w:tcMar>
              <w:top w:type="dxa" w:w="160"/>
              <w:left w:type="dxa" w:w="200"/>
              <w:bottom w:type="dxa" w:w="160"/>
              <w:right w:type="dxa" w:w="200"/>
            </w:tcMar>
          </w:tcPr>
          <w:p>
            <w:pPr>
              <w:spacing w:after="80"/>
            </w:pPr>
            <w:r>
              <w:rPr>
                <w:rFonts w:ascii="Arial" w:cs="Arial" w:eastAsia="Arial" w:hAnsi="Arial"/>
                <w:b/>
                <w:bCs/>
                <w:color w:val="BF6900"/>
                <w:sz w:val="22"/>
                <w:szCs w:val="22"/>
              </w:rPr>
              <w:t xml:space="preserve">COMPLETING THE PICTURE: STORAGE-LAYER CONSIDERATIONS</w:t>
            </w:r>
          </w:p>
          <w:p>
            <w:pPr>
              <w:spacing w:after="120"/>
            </w:pPr>
            <w:r>
              <w:rPr>
                <w:rFonts w:ascii="Arial" w:cs="Arial" w:eastAsia="Arial" w:hAnsi="Arial"/>
                <w:color w:val="333333"/>
                <w:sz w:val="22"/>
                <w:szCs w:val="22"/>
              </w:rPr>
              <w:t xml:space="preserve">NVIDIA’s compute-layer security excels at its design purpose. The following threat categories operate in the storage domain and benefit from dedicated, complementary protections:</w:t>
            </w:r>
          </w:p>
          <w:p>
            <w:pPr>
              <w:spacing w:after="120"/>
            </w:pPr>
            <w:r>
              <w:rPr>
                <w:rFonts w:ascii="Arial" w:cs="Arial" w:eastAsia="Arial" w:hAnsi="Arial"/>
                <w:b/>
                <w:bCs/>
                <w:color w:val="333333"/>
                <w:sz w:val="22"/>
                <w:szCs w:val="22"/>
              </w:rPr>
              <w:t xml:space="preserve">Ransomware on file storage </w:t>
            </w:r>
            <w:r>
              <w:rPr>
                <w:rFonts w:ascii="Arial" w:cs="Arial" w:eastAsia="Arial" w:hAnsi="Arial"/>
                <w:color w:val="333333"/>
                <w:sz w:val="22"/>
                <w:szCs w:val="22"/>
              </w:rPr>
              <w:t xml:space="preserve">— encryption of training datasets, model checkpoints, and inference results at the file system level.</w:t>
            </w:r>
          </w:p>
          <w:p>
            <w:pPr>
              <w:spacing w:after="120"/>
            </w:pPr>
            <w:r>
              <w:rPr>
                <w:rFonts w:ascii="Arial" w:cs="Arial" w:eastAsia="Arial" w:hAnsi="Arial"/>
                <w:b/>
                <w:bCs/>
                <w:color w:val="333333"/>
                <w:sz w:val="22"/>
                <w:szCs w:val="22"/>
              </w:rPr>
              <w:t xml:space="preserve">Data poisoning </w:t>
            </w:r>
            <w:r>
              <w:rPr>
                <w:rFonts w:ascii="Arial" w:cs="Arial" w:eastAsia="Arial" w:hAnsi="Arial"/>
                <w:color w:val="333333"/>
                <w:sz w:val="22"/>
                <w:szCs w:val="22"/>
              </w:rPr>
              <w:t xml:space="preserve">— subtle corruption of upstream training datasets that can degrade model quality without triggering compute-layer alerts.</w:t>
            </w:r>
          </w:p>
          <w:p>
            <w:pPr>
              <w:spacing w:after="120"/>
            </w:pPr>
            <w:r>
              <w:rPr>
                <w:rFonts w:ascii="Arial" w:cs="Arial" w:eastAsia="Arial" w:hAnsi="Arial"/>
                <w:b/>
                <w:bCs/>
                <w:color w:val="333333"/>
                <w:sz w:val="22"/>
                <w:szCs w:val="22"/>
              </w:rPr>
              <w:t xml:space="preserve">Insider threats and credential compromise </w:t>
            </w:r>
            <w:r>
              <w:rPr>
                <w:rFonts w:ascii="Arial" w:cs="Arial" w:eastAsia="Arial" w:hAnsi="Arial"/>
                <w:color w:val="333333"/>
                <w:sz w:val="22"/>
                <w:szCs w:val="22"/>
              </w:rPr>
              <w:t xml:space="preserve">— misused credentials exfiltrating proprietary model weights or altering curated datasets.</w:t>
            </w:r>
          </w:p>
          <w:p>
            <w:pPr>
              <w:spacing w:after="120"/>
            </w:pPr>
            <w:r>
              <w:rPr>
                <w:rFonts w:ascii="Arial" w:cs="Arial" w:eastAsia="Arial" w:hAnsi="Arial"/>
                <w:b/>
                <w:bCs/>
                <w:color w:val="333333"/>
                <w:sz w:val="22"/>
                <w:szCs w:val="22"/>
              </w:rPr>
              <w:t xml:space="preserve">Wiper malware targeting recovery infrastructure </w:t>
            </w:r>
            <w:r>
              <w:rPr>
                <w:rFonts w:ascii="Arial" w:cs="Arial" w:eastAsia="Arial" w:hAnsi="Arial"/>
                <w:color w:val="333333"/>
                <w:sz w:val="22"/>
                <w:szCs w:val="22"/>
              </w:rPr>
              <w:t xml:space="preserve">— attacks designed to destroy backup systems before the primary attack begins.</w:t>
            </w:r>
          </w:p>
          <w:p>
            <w:pPr>
              <w:spacing w:after="120"/>
            </w:pPr>
            <w:r>
              <w:rPr>
                <w:rFonts w:ascii="Arial" w:cs="Arial" w:eastAsia="Arial" w:hAnsi="Arial"/>
                <w:b/>
                <w:bCs/>
                <w:color w:val="333333"/>
                <w:sz w:val="22"/>
                <w:szCs w:val="22"/>
              </w:rPr>
              <w:t xml:space="preserve">Silent data exfiltration </w:t>
            </w:r>
            <w:r>
              <w:rPr>
                <w:rFonts w:ascii="Arial" w:cs="Arial" w:eastAsia="Arial" w:hAnsi="Arial"/>
                <w:color w:val="333333"/>
                <w:sz w:val="22"/>
                <w:szCs w:val="22"/>
              </w:rPr>
              <w:t xml:space="preserve">— unauthorized bulk reads of model weights or sensitive training data through normal storage protocols.</w:t>
            </w:r>
          </w:p>
          <w:p>
            <w:pPr>
              <w:spacing w:after="0"/>
            </w:pPr>
            <w:r>
              <w:rPr>
                <w:rFonts w:ascii="Arial" w:cs="Arial" w:eastAsia="Arial" w:hAnsi="Arial"/>
                <w:b/>
                <w:bCs/>
                <w:color w:val="333333"/>
                <w:sz w:val="22"/>
                <w:szCs w:val="22"/>
              </w:rPr>
              <w:t xml:space="preserve">Low-and-slow living-off-the-land attacks </w:t>
            </w:r>
            <w:r>
              <w:rPr>
                <w:rFonts w:ascii="Arial" w:cs="Arial" w:eastAsia="Arial" w:hAnsi="Arial"/>
                <w:color w:val="333333"/>
                <w:sz w:val="22"/>
                <w:szCs w:val="22"/>
              </w:rPr>
              <w:t xml:space="preserve">— valid credentials used to gradually corrupt data beneath signature-based detection.</w:t>
            </w:r>
          </w:p>
        </w:tc>
      </w:tr>
    </w:tbl>
    <w:p>
      <w:pPr>
        <w:spacing w:after="100"/>
      </w:pPr>
    </w:p>
    <w:p>
      <w:pPr>
        <w:spacing w:after="160"/>
      </w:pPr>
      <w:r>
        <w:rPr>
          <w:rFonts w:ascii="Arial" w:cs="Arial" w:eastAsia="Arial" w:hAnsi="Arial"/>
          <w:color w:val="333333"/>
          <w:sz w:val="22"/>
          <w:szCs w:val="22"/>
        </w:rPr>
        <w:t xml:space="preserve">Addressing these is the natural next step in building a comprehensive resilience posture around an investment of this magnitude.</w:t>
      </w:r>
    </w:p>
    <w:p>
      <w:r>
        <w:br w:type="page"/>
      </w:r>
    </w:p>
    <w:p>
      <w:pPr>
        <w:pStyle w:val="Heading1"/>
      </w:pPr>
      <w:r>
        <w:t xml:space="preserve">The Roche Architecture: Data Fluidity Across US and EMEA</w:t>
      </w:r>
    </w:p>
    <w:p>
      <w:pPr>
        <w:spacing w:after="160"/>
      </w:pPr>
      <w:r>
        <w:rPr>
          <w:rFonts w:ascii="Arial" w:cs="Arial" w:eastAsia="Arial" w:hAnsi="Arial"/>
          <w:color w:val="333333"/>
          <w:sz w:val="22"/>
          <w:szCs w:val="22"/>
        </w:rPr>
        <w:t xml:space="preserve">With SuperPOD deployments spanning </w:t>
      </w:r>
      <w:r>
        <w:rPr>
          <w:rFonts w:ascii="Arial" w:cs="Arial" w:eastAsia="Arial" w:hAnsi="Arial"/>
          <w:b/>
          <w:bCs/>
          <w:color w:val="333333"/>
          <w:sz w:val="22"/>
          <w:szCs w:val="22"/>
        </w:rPr>
        <w:t xml:space="preserve">both the United States and EMEA</w:t>
      </w:r>
      <w:r>
        <w:rPr>
          <w:rFonts w:ascii="Arial" w:cs="Arial" w:eastAsia="Arial" w:hAnsi="Arial"/>
          <w:color w:val="333333"/>
          <w:sz w:val="22"/>
          <w:szCs w:val="22"/>
        </w:rPr>
        <w:t xml:space="preserve">, Roche’s data pipeline adds geographic complexity to the standard multi-tier architecture. The </w:t>
      </w:r>
      <w:r>
        <w:rPr>
          <w:rFonts w:ascii="Arial" w:cs="Arial" w:eastAsia="Arial" w:hAnsi="Arial"/>
          <w:b/>
          <w:bCs/>
          <w:color w:val="333333"/>
          <w:sz w:val="22"/>
          <w:szCs w:val="22"/>
        </w:rPr>
        <w:t xml:space="preserve">Dell AI Data Platform with NVIDIA</w:t>
      </w:r>
      <w:r>
        <w:rPr>
          <w:rFonts w:ascii="Arial" w:cs="Arial" w:eastAsia="Arial" w:hAnsi="Arial"/>
          <w:color w:val="333333"/>
          <w:sz w:val="22"/>
          <w:szCs w:val="22"/>
        </w:rPr>
        <w:t xml:space="preserve"> provides the storage and data management foundation. </w:t>
      </w:r>
      <w:r>
        <w:rPr>
          <w:rFonts w:ascii="Arial" w:cs="Arial" w:eastAsia="Arial" w:hAnsi="Arial"/>
          <w:b/>
          <w:bCs/>
          <w:color w:val="333333"/>
          <w:sz w:val="22"/>
          <w:szCs w:val="22"/>
        </w:rPr>
        <w:t xml:space="preserve">Dell’s deep partnership with both NVIDIA and Roche</w:t>
      </w:r>
      <w:r>
        <w:rPr>
          <w:rFonts w:ascii="Arial" w:cs="Arial" w:eastAsia="Arial" w:hAnsi="Arial"/>
          <w:color w:val="333333"/>
          <w:sz w:val="22"/>
          <w:szCs w:val="22"/>
        </w:rPr>
        <w:t xml:space="preserve">, combined with </w:t>
      </w:r>
      <w:r>
        <w:rPr>
          <w:rFonts w:ascii="Arial" w:cs="Arial" w:eastAsia="Arial" w:hAnsi="Arial"/>
          <w:b/>
          <w:bCs/>
          <w:color w:val="333333"/>
          <w:sz w:val="22"/>
          <w:szCs w:val="22"/>
        </w:rPr>
        <w:t xml:space="preserve">WWT’s systems integration expertise</w:t>
      </w:r>
      <w:r>
        <w:rPr>
          <w:rFonts w:ascii="Arial" w:cs="Arial" w:eastAsia="Arial" w:hAnsi="Arial"/>
          <w:color w:val="333333"/>
          <w:sz w:val="22"/>
          <w:szCs w:val="22"/>
        </w:rPr>
        <w:t xml:space="preserve"> in deploying these environments, ensures the infrastructure is delivered as a cohesive, enterprise-grade platform.</w:t>
      </w:r>
    </w:p>
    <w:p>
      <w:pPr>
        <w:spacing w:after="100" w:before="200"/>
      </w:pPr>
      <w:r>
        <w:rPr>
          <w:rFonts w:ascii="Arial" w:cs="Arial" w:eastAsia="Arial" w:hAnsi="Arial"/>
          <w:b/>
          <w:bCs/>
          <w:color w:val="1B3A5C"/>
          <w:sz w:val="24"/>
          <w:szCs w:val="24"/>
        </w:rPr>
        <w:t xml:space="preserve">Tier 1 — The Enterprise Data Estate</w:t>
      </w:r>
    </w:p>
    <w:p>
      <w:pPr>
        <w:spacing w:after="160"/>
      </w:pPr>
      <w:r>
        <w:rPr>
          <w:rFonts w:ascii="Arial" w:cs="Arial" w:eastAsia="Arial" w:hAnsi="Arial"/>
          <w:b/>
          <w:bCs/>
          <w:color w:val="333333"/>
          <w:sz w:val="22"/>
          <w:szCs w:val="22"/>
        </w:rPr>
        <w:t xml:space="preserve">Dell PowerScale</w:t>
      </w:r>
      <w:r>
        <w:rPr>
          <w:rFonts w:ascii="Arial" w:cs="Arial" w:eastAsia="Arial" w:hAnsi="Arial"/>
          <w:color w:val="333333"/>
          <w:sz w:val="22"/>
          <w:szCs w:val="22"/>
        </w:rPr>
        <w:t xml:space="preserve"> serves as the primary enterprise file storage where Roche’s raw research data originates — genomics, clinical trial data, imaging, and lab outputs. S3-compatible object storage handles archival and data lake workloads.</w:t>
      </w:r>
    </w:p>
    <w:p>
      <w:pPr>
        <w:spacing w:after="100" w:before="200"/>
      </w:pPr>
      <w:r>
        <w:rPr>
          <w:rFonts w:ascii="Arial" w:cs="Arial" w:eastAsia="Arial" w:hAnsi="Arial"/>
          <w:b/>
          <w:bCs/>
          <w:color w:val="1B3A5C"/>
          <w:sz w:val="24"/>
          <w:szCs w:val="24"/>
        </w:rPr>
        <w:t xml:space="preserve">Tier 2 — High-Performance AI Storage</w:t>
      </w:r>
    </w:p>
    <w:p>
      <w:pPr>
        <w:spacing w:after="160"/>
      </w:pPr>
      <w:r>
        <w:rPr>
          <w:rFonts w:ascii="Arial" w:cs="Arial" w:eastAsia="Arial" w:hAnsi="Arial"/>
          <w:color w:val="333333"/>
          <w:sz w:val="22"/>
          <w:szCs w:val="22"/>
        </w:rPr>
        <w:t xml:space="preserve">A certified HPS layer (~2×10 PB) feeds 3,500 Blackwell GPUs. </w:t>
      </w:r>
      <w:r>
        <w:rPr>
          <w:rFonts w:ascii="Arial" w:cs="Arial" w:eastAsia="Arial" w:hAnsi="Arial"/>
          <w:b/>
          <w:bCs/>
          <w:color w:val="333333"/>
          <w:sz w:val="22"/>
          <w:szCs w:val="22"/>
        </w:rPr>
        <w:t xml:space="preserve">Dell Lightning File System</w:t>
      </w:r>
      <w:r>
        <w:rPr>
          <w:rFonts w:ascii="Arial" w:cs="Arial" w:eastAsia="Arial" w:hAnsi="Arial"/>
          <w:color w:val="333333"/>
          <w:sz w:val="22"/>
          <w:szCs w:val="22"/>
        </w:rPr>
        <w:t xml:space="preserve"> — up to 150 GB/s per rack — offers </w:t>
      </w:r>
      <w:r>
        <w:rPr>
          <w:rFonts w:ascii="Arial" w:cs="Arial" w:eastAsia="Arial" w:hAnsi="Arial"/>
          <w:b/>
          <w:bCs/>
          <w:color w:val="333333"/>
          <w:sz w:val="22"/>
          <w:szCs w:val="22"/>
        </w:rPr>
        <w:t xml:space="preserve">full data fluidity</w:t>
      </w:r>
      <w:r>
        <w:rPr>
          <w:rFonts w:ascii="Arial" w:cs="Arial" w:eastAsia="Arial" w:hAnsi="Arial"/>
          <w:color w:val="333333"/>
          <w:sz w:val="22"/>
          <w:szCs w:val="22"/>
        </w:rPr>
        <w:t xml:space="preserve">: Lightning, PowerScale, and object storage run on common Dell Exascale Storage hardware.</w:t>
      </w:r>
    </w:p>
    <w:p>
      <w:pPr>
        <w:spacing w:after="100" w:before="200"/>
      </w:pPr>
      <w:r>
        <w:rPr>
          <w:rFonts w:ascii="Arial" w:cs="Arial" w:eastAsia="Arial" w:hAnsi="Arial"/>
          <w:b/>
          <w:bCs/>
          <w:color w:val="1B3A5C"/>
          <w:sz w:val="24"/>
          <w:szCs w:val="24"/>
        </w:rPr>
        <w:t xml:space="preserve">Tier 3 — Inference Context &amp; Results</w:t>
      </w:r>
    </w:p>
    <w:p>
      <w:pPr>
        <w:spacing w:after="160"/>
      </w:pPr>
      <w:r>
        <w:rPr>
          <w:rFonts w:ascii="Arial" w:cs="Arial" w:eastAsia="Arial" w:hAnsi="Arial"/>
          <w:b/>
          <w:bCs/>
          <w:color w:val="333333"/>
          <w:sz w:val="22"/>
          <w:szCs w:val="22"/>
        </w:rPr>
        <w:t xml:space="preserve">NVIDIA CMX</w:t>
      </w:r>
      <w:r>
        <w:rPr>
          <w:rFonts w:ascii="Arial" w:cs="Arial" w:eastAsia="Arial" w:hAnsi="Arial"/>
          <w:color w:val="333333"/>
          <w:sz w:val="22"/>
          <w:szCs w:val="22"/>
        </w:rPr>
        <w:t xml:space="preserve"> support enables KV cache offload from GPU memory. Models, checkpoints, and results flow back to PowerScale or object storage for retention.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A NATURAL OBSERVATION</w:t>
            </w:r>
          </w:p>
          <w:p>
            <w:r>
              <w:rPr>
                <w:rFonts w:ascii="Arial" w:cs="Arial" w:eastAsia="Arial" w:hAnsi="Arial"/>
                <w:color w:val="333333"/>
                <w:sz w:val="22"/>
                <w:szCs w:val="22"/>
              </w:rPr>
              <w:t xml:space="preserve">When data moves seamlessly between tiers and across US and EMEA, </w:t>
            </w:r>
            <w:r>
              <w:rPr>
                <w:rFonts w:ascii="Arial" w:cs="Arial" w:eastAsia="Arial" w:hAnsi="Arial"/>
                <w:b/>
                <w:bCs/>
                <w:color w:val="333333"/>
                <w:sz w:val="22"/>
                <w:szCs w:val="22"/>
              </w:rPr>
              <w:t xml:space="preserve">protection needs to follow the data just as seamlessly</w:t>
            </w:r>
            <w:r>
              <w:rPr>
                <w:rFonts w:ascii="Arial" w:cs="Arial" w:eastAsia="Arial" w:hAnsi="Arial"/>
                <w:color w:val="333333"/>
                <w:sz w:val="22"/>
                <w:szCs w:val="22"/>
              </w:rPr>
              <w:t xml:space="preserve">. The compute layer is well defended by NVIDIA. The storage layer is where complementary protections complete the picture.</w:t>
            </w:r>
          </w:p>
        </w:tc>
      </w:tr>
    </w:tbl>
    <w:p>
      <w:r>
        <w:br w:type="page"/>
      </w:r>
    </w:p>
    <w:p>
      <w:pPr>
        <w:pStyle w:val="Heading1"/>
      </w:pPr>
      <w:r>
        <w:t xml:space="preserve">The Strong Foundation: NVIDIA Compute-Layer Security</w:t>
      </w:r>
    </w:p>
    <w:p>
      <w:pPr>
        <w:spacing w:after="160"/>
      </w:pPr>
      <w:r>
        <w:rPr>
          <w:rFonts w:ascii="Arial" w:cs="Arial" w:eastAsia="Arial" w:hAnsi="Arial"/>
          <w:color w:val="333333"/>
          <w:sz w:val="22"/>
          <w:szCs w:val="22"/>
        </w:rPr>
        <w:t xml:space="preserve">NVIDIA’s compute-layer security provides an outstanding foundation to build upon.</w:t>
      </w:r>
    </w:p>
    <w:p>
      <w:pPr>
        <w:pStyle w:val="Heading2"/>
      </w:pPr>
      <w:r>
        <w:t xml:space="preserve">Confidential Computing</w:t>
      </w:r>
    </w:p>
    <w:p>
      <w:pPr>
        <w:spacing w:after="160"/>
      </w:pPr>
      <w:r>
        <w:rPr>
          <w:rFonts w:ascii="Arial" w:cs="Arial" w:eastAsia="Arial" w:hAnsi="Arial"/>
          <w:color w:val="333333"/>
          <w:sz w:val="22"/>
          <w:szCs w:val="22"/>
        </w:rPr>
        <w:t xml:space="preserve">The Blackwell architecture integrates hardware-backed Confidential Computing, combining a CPU-based Trusted Execution Environment with NVIDIA’s GPU-native confidential computing. In CC mode, the GPU encrypts all data in GPU memory. With the Rubin platform, this extends to rack-scale encryption across CPU, GPU, and NVLink domains.</w:t>
      </w:r>
    </w:p>
    <w:p>
      <w:pPr>
        <w:pStyle w:val="Heading2"/>
      </w:pPr>
      <w:r>
        <w:t xml:space="preserve">BlueField DPUs &amp; Network Security</w:t>
      </w:r>
    </w:p>
    <w:p>
      <w:pPr>
        <w:spacing w:after="160"/>
      </w:pPr>
      <w:r>
        <w:rPr>
          <w:rFonts w:ascii="Arial" w:cs="Arial" w:eastAsia="Arial" w:hAnsi="Arial"/>
          <w:color w:val="333333"/>
          <w:sz w:val="22"/>
          <w:szCs w:val="22"/>
        </w:rPr>
        <w:t xml:space="preserve">BlueField DPUs offload encryption/decryption, firewall, and TCP/IP processing, performing AI-driven security analytics on network traffic.</w:t>
      </w:r>
    </w:p>
    <w:p>
      <w:pPr>
        <w:pStyle w:val="Heading2"/>
      </w:pPr>
      <w:r>
        <w:t xml:space="preserve">Firmware Integrity &amp; Software Supply Chain</w:t>
      </w:r>
    </w:p>
    <w:p>
      <w:pPr>
        <w:spacing w:after="160"/>
      </w:pPr>
      <w:r>
        <w:rPr>
          <w:rFonts w:ascii="Arial" w:cs="Arial" w:eastAsia="Arial" w:hAnsi="Arial"/>
          <w:color w:val="333333"/>
          <w:sz w:val="22"/>
          <w:szCs w:val="22"/>
        </w:rPr>
        <w:t xml:space="preserve">Dual Remote Attestation, Secure Flash, AES-CBC firmware encryption, and NGC vulnerability scanning ensure workloads run on verified hardware with verified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THE COMPLEMENTARY OPPORTUNITY</w:t>
            </w:r>
          </w:p>
          <w:p>
            <w:r>
              <w:rPr>
                <w:rFonts w:ascii="Arial" w:cs="Arial" w:eastAsia="Arial" w:hAnsi="Arial"/>
                <w:color w:val="333333"/>
                <w:sz w:val="22"/>
                <w:szCs w:val="22"/>
              </w:rPr>
              <w:t xml:space="preserve">These protections are expertly designed for data in compute and data in transit. The opportunity lies in extending similar rigor to data at rest and in motion across the storage tiers. </w:t>
            </w:r>
            <w:r>
              <w:rPr>
                <w:rFonts w:ascii="Arial" w:cs="Arial" w:eastAsia="Arial" w:hAnsi="Arial"/>
                <w:b/>
                <w:bCs/>
                <w:color w:val="333333"/>
                <w:sz w:val="22"/>
                <w:szCs w:val="22"/>
              </w:rPr>
              <w:t xml:space="preserve">Think of it as building the second wing of the same building: compute security on one side, storage security on the other, connected by a shared commitment to protecting Roche’s science.</w:t>
            </w:r>
          </w:p>
        </w:tc>
      </w:tr>
    </w:tbl>
    <w:p>
      <w:r>
        <w:br w:type="page"/>
      </w:r>
    </w:p>
    <w:p>
      <w:pPr>
        <w:pStyle w:val="Heading1"/>
      </w:pPr>
      <w:r>
        <w:t xml:space="preserve">Completing the Resilience Posture: Superna + Dell Cyber Recovery</w:t>
      </w:r>
    </w:p>
    <w:p>
      <w:pPr>
        <w:spacing w:after="160"/>
      </w:pPr>
      <w:r>
        <w:rPr>
          <w:rFonts w:ascii="Arial" w:cs="Arial" w:eastAsia="Arial" w:hAnsi="Arial"/>
          <w:color w:val="333333"/>
          <w:sz w:val="22"/>
          <w:szCs w:val="22"/>
        </w:rPr>
        <w:t xml:space="preserve">With the compute layer well defended by NVIDIA, and the infrastructure delivered through the strong collaboration between Dell, WWT, and Roche,  the natural next step is to bring equivalent rigor to the storage layer.</w:t>
      </w:r>
    </w:p>
    <w:p>
      <w:pPr>
        <w:pStyle w:val="Heading2"/>
      </w:pPr>
      <w:r>
        <w:t xml:space="preserve">Superna: Real-Time Detection Across the Data Lifecycle</w:t>
      </w:r>
    </w:p>
    <w:p>
      <w:pPr>
        <w:spacing w:after="160"/>
      </w:pPr>
      <w:r>
        <w:rPr>
          <w:rFonts w:ascii="Arial" w:cs="Arial" w:eastAsia="Arial" w:hAnsi="Arial"/>
          <w:color w:val="333333"/>
          <w:sz w:val="22"/>
          <w:szCs w:val="22"/>
        </w:rPr>
        <w:t xml:space="preserve">Superna operates at the storage layer — monitoring file access patterns, detecting behavioral anomalies, and automating containment across every tier of the Dell AI Data Platform.</w:t>
      </w:r>
    </w:p>
    <w:p>
      <w:pPr>
        <w:spacing w:after="100" w:before="200"/>
      </w:pPr>
      <w:r>
        <w:rPr>
          <w:rFonts w:ascii="Arial" w:cs="Arial" w:eastAsia="Arial" w:hAnsi="Arial"/>
          <w:b/>
          <w:bCs/>
          <w:color w:val="1B3A5C"/>
          <w:sz w:val="24"/>
          <w:szCs w:val="24"/>
        </w:rPr>
        <w:t xml:space="preserve">Dell PowerScale</w:t>
      </w:r>
    </w:p>
    <w:p>
      <w:pPr>
        <w:spacing w:after="160"/>
      </w:pPr>
      <w:r>
        <w:rPr>
          <w:rFonts w:ascii="Arial" w:cs="Arial" w:eastAsia="Arial" w:hAnsi="Arial"/>
          <w:color w:val="333333"/>
          <w:sz w:val="22"/>
          <w:szCs w:val="22"/>
        </w:rPr>
        <w:t xml:space="preserve">Superna integrates natively with PowerScale, detecting ransomware patterns (</w:t>
      </w:r>
      <w:r>
        <w:rPr>
          <w:rFonts w:ascii="Arial" w:cs="Arial" w:eastAsia="Arial" w:hAnsi="Arial"/>
          <w:i/>
          <w:iCs/>
          <w:color w:val="333333"/>
          <w:sz w:val="22"/>
          <w:szCs w:val="22"/>
        </w:rPr>
        <w:t xml:space="preserve">mass encryption, unusual write velocities</w:t>
      </w:r>
      <w:r>
        <w:rPr>
          <w:rFonts w:ascii="Arial" w:cs="Arial" w:eastAsia="Arial" w:hAnsi="Arial"/>
          <w:color w:val="333333"/>
          <w:sz w:val="22"/>
          <w:szCs w:val="22"/>
        </w:rPr>
        <w:t xml:space="preserve">), insider threats (</w:t>
      </w:r>
      <w:r>
        <w:rPr>
          <w:rFonts w:ascii="Arial" w:cs="Arial" w:eastAsia="Arial" w:hAnsi="Arial"/>
          <w:i/>
          <w:iCs/>
          <w:color w:val="333333"/>
          <w:sz w:val="22"/>
          <w:szCs w:val="22"/>
        </w:rPr>
        <w:t xml:space="preserve">abnormal bulk reads, credential misuse</w:t>
      </w:r>
      <w:r>
        <w:rPr>
          <w:rFonts w:ascii="Arial" w:cs="Arial" w:eastAsia="Arial" w:hAnsi="Arial"/>
          <w:color w:val="333333"/>
          <w:sz w:val="22"/>
          <w:szCs w:val="22"/>
        </w:rPr>
        <w:t xml:space="preserve">), and data integrity issues. Automated response locks accounts, isolates workloads, prevents spread. Smart AirGap keeps backup copies immutable.</w:t>
      </w:r>
    </w:p>
    <w:p>
      <w:pPr>
        <w:spacing w:after="100" w:before="200"/>
      </w:pPr>
      <w:r>
        <w:rPr>
          <w:rFonts w:ascii="Arial" w:cs="Arial" w:eastAsia="Arial" w:hAnsi="Arial"/>
          <w:b/>
          <w:bCs/>
          <w:color w:val="1B3A5C"/>
          <w:sz w:val="24"/>
          <w:szCs w:val="24"/>
        </w:rPr>
        <w:t xml:space="preserve">Dell Lightning File System</w:t>
      </w:r>
    </w:p>
    <w:p>
      <w:pPr>
        <w:spacing w:after="160"/>
      </w:pPr>
      <w:r>
        <w:rPr>
          <w:rFonts w:ascii="Arial" w:cs="Arial" w:eastAsia="Arial" w:hAnsi="Arial"/>
          <w:color w:val="333333"/>
          <w:sz w:val="22"/>
          <w:szCs w:val="22"/>
        </w:rPr>
        <w:t xml:space="preserve">Superna extends into the GPU-hot tier. Because Lightning, PowerScale, and object storage share common Exascale infrastructure, Superna provides </w:t>
      </w:r>
      <w:r>
        <w:rPr>
          <w:rFonts w:ascii="Arial" w:cs="Arial" w:eastAsia="Arial" w:hAnsi="Arial"/>
          <w:b/>
          <w:bCs/>
          <w:color w:val="333333"/>
          <w:sz w:val="22"/>
          <w:szCs w:val="22"/>
        </w:rPr>
        <w:t xml:space="preserve">consistent, cross-tier threat detection</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Cross-Platform Coverage</w:t>
      </w:r>
    </w:p>
    <w:p>
      <w:pPr>
        <w:spacing w:after="160"/>
      </w:pPr>
      <w:r>
        <w:rPr>
          <w:rFonts w:ascii="Arial" w:cs="Arial" w:eastAsia="Arial" w:hAnsi="Arial"/>
          <w:color w:val="333333"/>
          <w:sz w:val="22"/>
          <w:szCs w:val="22"/>
        </w:rPr>
        <w:t xml:space="preserve">Superna also integrates with VAST Data, Qumulo, Hitachi, and NetApp. </w:t>
      </w:r>
      <w:r>
        <w:rPr>
          <w:rFonts w:ascii="Arial" w:cs="Arial" w:eastAsia="Arial" w:hAnsi="Arial"/>
          <w:b/>
          <w:bCs/>
          <w:color w:val="333333"/>
          <w:sz w:val="22"/>
          <w:szCs w:val="22"/>
        </w:rPr>
        <w:t xml:space="preserve">One console, one policy framework, visibility across Roche’s entire data supply chain — US and EMEA.</w:t>
      </w:r>
    </w:p>
    <w:p>
      <w:pPr>
        <w:spacing w:after="100" w:before="200"/>
      </w:pPr>
      <w:r>
        <w:rPr>
          <w:rFonts w:ascii="Arial" w:cs="Arial" w:eastAsia="Arial" w:hAnsi="Arial"/>
          <w:b/>
          <w:bCs/>
          <w:color w:val="1B3A5C"/>
          <w:sz w:val="24"/>
          <w:szCs w:val="24"/>
        </w:rPr>
        <w:t xml:space="preserve">How Superna Addresses Each Consideration</w:t>
      </w:r>
    </w:p>
    <w:p>
      <w:pPr>
        <w:pStyle w:val="ListParagraph"/>
        <w:numPr>
          <w:ilvl w:val="0"/>
          <w:numId w:val="2"/>
        </w:numPr>
        <w:spacing w:after="80"/>
      </w:pPr>
      <w:r>
        <w:rPr>
          <w:rFonts w:ascii="Arial" w:cs="Arial" w:eastAsia="Arial" w:hAnsi="Arial"/>
          <w:b/>
          <w:bCs/>
          <w:color w:val="333333"/>
          <w:sz w:val="22"/>
          <w:szCs w:val="22"/>
        </w:rPr>
        <w:t xml:space="preserve">Ransomware: </w:t>
      </w:r>
      <w:r>
        <w:rPr>
          <w:rFonts w:ascii="Arial" w:cs="Arial" w:eastAsia="Arial" w:hAnsi="Arial"/>
          <w:color w:val="333333"/>
          <w:sz w:val="22"/>
          <w:szCs w:val="22"/>
        </w:rPr>
        <w:t xml:space="preserve">Inline detection with automated containment.</w:t>
      </w:r>
    </w:p>
    <w:p>
      <w:pPr>
        <w:pStyle w:val="ListParagraph"/>
        <w:numPr>
          <w:ilvl w:val="0"/>
          <w:numId w:val="2"/>
        </w:numPr>
        <w:spacing w:after="80"/>
      </w:pPr>
      <w:r>
        <w:rPr>
          <w:rFonts w:ascii="Arial" w:cs="Arial" w:eastAsia="Arial" w:hAnsi="Arial"/>
          <w:b/>
          <w:bCs/>
          <w:color w:val="333333"/>
          <w:sz w:val="22"/>
          <w:szCs w:val="22"/>
        </w:rPr>
        <w:t xml:space="preserve">Data poisoning: </w:t>
      </w:r>
      <w:r>
        <w:rPr>
          <w:rFonts w:ascii="Arial" w:cs="Arial" w:eastAsia="Arial" w:hAnsi="Arial"/>
          <w:color w:val="333333"/>
          <w:sz w:val="22"/>
          <w:szCs w:val="22"/>
        </w:rPr>
        <w:t xml:space="preserve">Content-aware analysis via Cyber Scanner.</w:t>
      </w:r>
    </w:p>
    <w:p>
      <w:pPr>
        <w:pStyle w:val="ListParagraph"/>
        <w:numPr>
          <w:ilvl w:val="0"/>
          <w:numId w:val="2"/>
        </w:numPr>
        <w:spacing w:after="80"/>
      </w:pPr>
      <w:r>
        <w:rPr>
          <w:rFonts w:ascii="Arial" w:cs="Arial" w:eastAsia="Arial" w:hAnsi="Arial"/>
          <w:b/>
          <w:bCs/>
          <w:color w:val="333333"/>
          <w:sz w:val="22"/>
          <w:szCs w:val="22"/>
        </w:rPr>
        <w:t xml:space="preserve">Insider threat: </w:t>
      </w:r>
      <w:r>
        <w:rPr>
          <w:rFonts w:ascii="Arial" w:cs="Arial" w:eastAsia="Arial" w:hAnsi="Arial"/>
          <w:color w:val="333333"/>
          <w:sz w:val="22"/>
          <w:szCs w:val="22"/>
        </w:rPr>
        <w:t xml:space="preserve">Behavioral analysis of file access patterns.</w:t>
      </w:r>
    </w:p>
    <w:p>
      <w:pPr>
        <w:pStyle w:val="ListParagraph"/>
        <w:numPr>
          <w:ilvl w:val="0"/>
          <w:numId w:val="2"/>
        </w:numPr>
        <w:spacing w:after="80"/>
      </w:pPr>
      <w:r>
        <w:rPr>
          <w:rFonts w:ascii="Arial" w:cs="Arial" w:eastAsia="Arial" w:hAnsi="Arial"/>
          <w:b/>
          <w:bCs/>
          <w:color w:val="333333"/>
          <w:sz w:val="22"/>
          <w:szCs w:val="22"/>
        </w:rPr>
        <w:t xml:space="preserve">Wiper malware: </w:t>
      </w:r>
      <w:r>
        <w:rPr>
          <w:rFonts w:ascii="Arial" w:cs="Arial" w:eastAsia="Arial" w:hAnsi="Arial"/>
          <w:color w:val="333333"/>
          <w:sz w:val="22"/>
          <w:szCs w:val="22"/>
        </w:rPr>
        <w:t xml:space="preserve">Smart AirGap isolates backups from production.</w:t>
      </w:r>
    </w:p>
    <w:p>
      <w:pPr>
        <w:pStyle w:val="ListParagraph"/>
        <w:numPr>
          <w:ilvl w:val="0"/>
          <w:numId w:val="2"/>
        </w:numPr>
        <w:spacing w:after="80"/>
      </w:pPr>
      <w:r>
        <w:rPr>
          <w:rFonts w:ascii="Arial" w:cs="Arial" w:eastAsia="Arial" w:hAnsi="Arial"/>
          <w:b/>
          <w:bCs/>
          <w:color w:val="333333"/>
          <w:sz w:val="22"/>
          <w:szCs w:val="22"/>
        </w:rPr>
        <w:t xml:space="preserve">Living-off-the-land: </w:t>
      </w:r>
      <w:r>
        <w:rPr>
          <w:rFonts w:ascii="Arial" w:cs="Arial" w:eastAsia="Arial" w:hAnsi="Arial"/>
          <w:color w:val="333333"/>
          <w:sz w:val="22"/>
          <w:szCs w:val="22"/>
        </w:rPr>
        <w:t xml:space="preserve">Deviation analysis against historical baselines.</w:t>
      </w:r>
    </w:p>
    <w:p>
      <w:pPr>
        <w:pStyle w:val="ListParagraph"/>
        <w:numPr>
          <w:ilvl w:val="0"/>
          <w:numId w:val="2"/>
        </w:numPr>
        <w:spacing w:after="80"/>
      </w:pPr>
      <w:r>
        <w:rPr>
          <w:rFonts w:ascii="Arial" w:cs="Arial" w:eastAsia="Arial" w:hAnsi="Arial"/>
          <w:b/>
          <w:bCs/>
          <w:color w:val="333333"/>
          <w:sz w:val="22"/>
          <w:szCs w:val="22"/>
        </w:rPr>
        <w:t xml:space="preserve">Compliance: </w:t>
      </w:r>
      <w:r>
        <w:rPr>
          <w:rFonts w:ascii="Arial" w:cs="Arial" w:eastAsia="Arial" w:hAnsi="Arial"/>
          <w:color w:val="333333"/>
          <w:sz w:val="22"/>
          <w:szCs w:val="22"/>
        </w:rPr>
        <w:t xml:space="preserve">Audit-ready logging for NIST, HIPAA, GDPR, SOC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6"/>
              <w:right w:val="single" w:color="2E7D32" w:sz="6"/>
            </w:tcBorders>
            <w:shd w:fill="EDF7ED" w:val="clear"/>
            <w:tcMar>
              <w:top w:type="dxa" w:w="160"/>
              <w:left w:type="dxa" w:w="200"/>
              <w:bottom w:type="dxa" w:w="160"/>
              <w:right w:type="dxa" w:w="200"/>
            </w:tcMar>
          </w:tcPr>
          <w:p>
            <w:pPr>
              <w:spacing w:after="80"/>
            </w:pPr>
            <w:r>
              <w:rPr>
                <w:rFonts w:ascii="Arial" w:cs="Arial" w:eastAsia="Arial" w:hAnsi="Arial"/>
                <w:b/>
                <w:bCs/>
                <w:color w:val="2E7D32"/>
                <w:sz w:val="22"/>
                <w:szCs w:val="22"/>
              </w:rPr>
              <w:t xml:space="preserve">DETECTION THAT FOLLOWS THE DATA</w:t>
            </w:r>
          </w:p>
          <w:p>
            <w:r>
              <w:rPr>
                <w:rFonts w:ascii="Arial" w:cs="Arial" w:eastAsia="Arial" w:hAnsi="Arial"/>
                <w:color w:val="333333"/>
                <w:sz w:val="22"/>
                <w:szCs w:val="22"/>
              </w:rPr>
              <w:t xml:space="preserve">Roche’s data flows across US and EMEA, between PowerScale, Lightning, object storage, and CMX caches. Superna follows the data wherever it moves — maintaining continuous monitoring regardless of geography or storage engine. When NVIDIA’s protections hand data back to storage after a training run, Superna is already watching.</w:t>
            </w:r>
          </w:p>
        </w:tc>
      </w:tr>
    </w:tbl>
    <w:p>
      <w:r>
        <w:br w:type="page"/>
      </w:r>
    </w:p>
    <w:p>
      <w:pPr>
        <w:pStyle w:val="Heading2"/>
      </w:pPr>
      <w:r>
        <w:t xml:space="preserve">Dell PowerProtect Cyber Recovery: The Complete Recovery Architecture</w:t>
      </w:r>
    </w:p>
    <w:p>
      <w:pPr>
        <w:spacing w:after="160"/>
      </w:pPr>
      <w:r>
        <w:rPr>
          <w:rFonts w:ascii="Arial" w:cs="Arial" w:eastAsia="Arial" w:hAnsi="Arial"/>
          <w:color w:val="333333"/>
          <w:sz w:val="22"/>
          <w:szCs w:val="22"/>
        </w:rPr>
        <w:t xml:space="preserve">Even with excellent real-time detection, the most consequential attacks are designed to persist. Nation-state actors and advanced ransomware operators like LockBit dwell in networks for weeks, map backup infrastructure, and time their encryption to maximize damage. For these scenarios, organizations need a recovery capability that is </w:t>
      </w:r>
      <w:r>
        <w:rPr>
          <w:rFonts w:ascii="Arial" w:cs="Arial" w:eastAsia="Arial" w:hAnsi="Arial"/>
          <w:b/>
          <w:bCs/>
          <w:color w:val="333333"/>
          <w:sz w:val="22"/>
          <w:szCs w:val="22"/>
        </w:rPr>
        <w:t xml:space="preserve">physically and logically unreachable by the attacker, forensically validated, and capable of restoring operations from a different geography if necessary</w:t>
      </w:r>
      <w:r>
        <w:rPr>
          <w:rFonts w:ascii="Arial" w:cs="Arial" w:eastAsia="Arial" w:hAnsi="Arial"/>
          <w:color w:val="333333"/>
          <w:sz w:val="22"/>
          <w:szCs w:val="22"/>
        </w:rPr>
        <w:t xml:space="preserve">.</w:t>
      </w:r>
    </w:p>
    <w:p>
      <w:pPr>
        <w:spacing w:after="160"/>
      </w:pPr>
      <w:r>
        <w:rPr>
          <w:rFonts w:ascii="Arial" w:cs="Arial" w:eastAsia="Arial" w:hAnsi="Arial"/>
          <w:color w:val="333333"/>
          <w:sz w:val="22"/>
          <w:szCs w:val="22"/>
        </w:rPr>
        <w:t xml:space="preserve">Dell PowerProtect Cyber Recovery is built on three pillars: </w:t>
      </w:r>
      <w:r>
        <w:rPr>
          <w:rFonts w:ascii="Arial" w:cs="Arial" w:eastAsia="Arial" w:hAnsi="Arial"/>
          <w:b/>
          <w:bCs/>
          <w:color w:val="333333"/>
          <w:sz w:val="22"/>
          <w:szCs w:val="22"/>
        </w:rPr>
        <w:t xml:space="preserve">isolation, intelligence, and recovery</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The Vault: Isolation That Attackers Cannot Reach</w:t>
      </w:r>
    </w:p>
    <w:p>
      <w:pPr>
        <w:spacing w:after="160"/>
      </w:pPr>
      <w:r>
        <w:rPr>
          <w:rFonts w:ascii="Arial" w:cs="Arial" w:eastAsia="Arial" w:hAnsi="Arial"/>
          <w:color w:val="333333"/>
          <w:sz w:val="22"/>
          <w:szCs w:val="22"/>
        </w:rPr>
        <w:t xml:space="preserve">The Cyber Recovery vault is not a backup. It is a physically or logically isolated environment with an automated operational air gap. The network link to production is disabled by policy except during narrow, controlled replication windows — typically minutes per day. When the air gap is locked, no SSH, HTTPS, or non-data traffic is permitted. Access requires separate security credentials and multi-factor authentication, operated by a dedicated security officer role.</w:t>
      </w:r>
    </w:p>
    <w:p>
      <w:pPr>
        <w:spacing w:after="160"/>
      </w:pPr>
      <w:r>
        <w:rPr>
          <w:rFonts w:ascii="Arial" w:cs="Arial" w:eastAsia="Arial" w:hAnsi="Arial"/>
          <w:color w:val="333333"/>
          <w:sz w:val="22"/>
          <w:szCs w:val="22"/>
        </w:rPr>
        <w:t xml:space="preserve">Retention Lock enforces data immutability at the hardware level on PowerProtect Data Domain. Data cannot be altered, deleted, or encrypted by any user or process — including administrators. The vault can be deployed on-premises or as a cloud-based vault in </w:t>
      </w:r>
      <w:r>
        <w:rPr>
          <w:rFonts w:ascii="Arial" w:cs="Arial" w:eastAsia="Arial" w:hAnsi="Arial"/>
          <w:b/>
          <w:bCs/>
          <w:color w:val="333333"/>
          <w:sz w:val="22"/>
          <w:szCs w:val="22"/>
        </w:rPr>
        <w:t xml:space="preserve">AWS, Azure, or GCP</w:t>
      </w:r>
      <w:r>
        <w:rPr>
          <w:rFonts w:ascii="Arial" w:cs="Arial" w:eastAsia="Arial" w:hAnsi="Arial"/>
          <w:color w:val="333333"/>
          <w:sz w:val="22"/>
          <w:szCs w:val="22"/>
        </w:rPr>
        <w:t xml:space="preserve"> within a secure VPC. Where regulation permits, vault copies can be replicated to an off-premises or cross-region location, enabling </w:t>
      </w:r>
      <w:r>
        <w:rPr>
          <w:rFonts w:ascii="Arial" w:cs="Arial" w:eastAsia="Arial" w:hAnsi="Arial"/>
          <w:b/>
          <w:bCs/>
          <w:color w:val="333333"/>
          <w:sz w:val="22"/>
          <w:szCs w:val="22"/>
        </w:rPr>
        <w:t xml:space="preserve">geographic resilience independent of the primary data center</w:t>
      </w:r>
      <w:r>
        <w:rPr>
          <w:rFonts w:ascii="Arial" w:cs="Arial" w:eastAsia="Arial" w:hAnsi="Arial"/>
          <w:color w:val="333333"/>
          <w:sz w:val="22"/>
          <w:szCs w:val="22"/>
        </w:rPr>
        <w:t xml:space="preserve">.</w:t>
      </w:r>
    </w:p>
    <w:p>
      <w:pPr>
        <w:spacing w:after="100" w:before="200"/>
      </w:pPr>
      <w:r>
        <w:rPr>
          <w:rFonts w:ascii="Arial" w:cs="Arial" w:eastAsia="Arial" w:hAnsi="Arial"/>
          <w:b/>
          <w:bCs/>
          <w:color w:val="1B3A5C"/>
          <w:sz w:val="24"/>
          <w:szCs w:val="24"/>
        </w:rPr>
        <w:t xml:space="preserve">CyberSense: Intelligence That Validates Before You Restore</w:t>
      </w:r>
    </w:p>
    <w:p>
      <w:pPr>
        <w:spacing w:after="160"/>
      </w:pPr>
      <w:r>
        <w:rPr>
          <w:rFonts w:ascii="Arial" w:cs="Arial" w:eastAsia="Arial" w:hAnsi="Arial"/>
          <w:color w:val="333333"/>
          <w:sz w:val="22"/>
          <w:szCs w:val="22"/>
        </w:rPr>
        <w:t xml:space="preserve">CyberSense uses full-content analytics — not just metadata — to observe how data changes over time. Its ML models detect corruption patterns indicative of ransomware, including partial encryption, mass deletions, and subtle structural changes in databases and infrastructure files like Active Directory and DNS. Scans run inside the vault without rehydration, meaning the analysis happens in isolation where malware masking routines cannot interfere.</w:t>
      </w:r>
    </w:p>
    <w:p>
      <w:pPr>
        <w:spacing w:after="160"/>
      </w:pPr>
      <w:r>
        <w:rPr>
          <w:rFonts w:ascii="Arial" w:cs="Arial" w:eastAsia="Arial" w:hAnsi="Arial"/>
          <w:color w:val="333333"/>
          <w:sz w:val="22"/>
          <w:szCs w:val="22"/>
        </w:rPr>
        <w:t xml:space="preserve">Post-incident forensic reports identify blast radius, corrupted files, file owners, and last known good recovery points. This answers the most critical post-attack question: </w:t>
      </w:r>
      <w:r>
        <w:rPr>
          <w:rFonts w:ascii="Arial" w:cs="Arial" w:eastAsia="Arial" w:hAnsi="Arial"/>
          <w:b/>
          <w:bCs/>
          <w:i/>
          <w:iCs/>
          <w:color w:val="333333"/>
          <w:sz w:val="22"/>
          <w:szCs w:val="22"/>
        </w:rPr>
        <w:t xml:space="preserve">which copy of my data can I actually trust?</w:t>
      </w:r>
      <w:r>
        <w:rPr>
          <w:rFonts w:ascii="Arial" w:cs="Arial" w:eastAsia="Arial" w:hAnsi="Arial"/>
          <w:color w:val="333333"/>
          <w:sz w:val="22"/>
          <w:szCs w:val="22"/>
        </w:rPr>
        <w:t xml:space="preserve"> Detection accuracy is validated at 99.99% by ESG.</w:t>
      </w:r>
    </w:p>
    <w:p>
      <w:pPr>
        <w:spacing w:after="100" w:before="200"/>
      </w:pPr>
      <w:r>
        <w:rPr>
          <w:rFonts w:ascii="Arial" w:cs="Arial" w:eastAsia="Arial" w:hAnsi="Arial"/>
          <w:b/>
          <w:bCs/>
          <w:color w:val="1B3A5C"/>
          <w:sz w:val="24"/>
          <w:szCs w:val="24"/>
        </w:rPr>
        <w:t xml:space="preserve">Clean Room and Restart Room: The Path Back to Operations</w:t>
      </w:r>
    </w:p>
    <w:p>
      <w:pPr>
        <w:spacing w:after="160"/>
      </w:pPr>
      <w:r>
        <w:rPr>
          <w:rFonts w:ascii="Arial" w:cs="Arial" w:eastAsia="Arial" w:hAnsi="Arial"/>
          <w:color w:val="333333"/>
          <w:sz w:val="22"/>
          <w:szCs w:val="22"/>
        </w:rPr>
        <w:t xml:space="preserve">The </w:t>
      </w:r>
      <w:r>
        <w:rPr>
          <w:rFonts w:ascii="Arial" w:cs="Arial" w:eastAsia="Arial" w:hAnsi="Arial"/>
          <w:b/>
          <w:bCs/>
          <w:color w:val="333333"/>
          <w:sz w:val="22"/>
          <w:szCs w:val="22"/>
        </w:rPr>
        <w:t xml:space="preserve">Clean Room</w:t>
      </w:r>
      <w:r>
        <w:rPr>
          <w:rFonts w:ascii="Arial" w:cs="Arial" w:eastAsia="Arial" w:hAnsi="Arial"/>
          <w:color w:val="333333"/>
          <w:sz w:val="22"/>
          <w:szCs w:val="22"/>
        </w:rPr>
        <w:t xml:space="preserve"> is an isolated recovery environment within or adjacent to the vault. Applications are recovered and tested individually, verified free of malware and corruption before returning to production. It supports forensic investigation, compliance evidence preservation, and controlled restoration of business-critical systems.</w:t>
      </w:r>
    </w:p>
    <w:p>
      <w:pPr>
        <w:spacing w:after="160"/>
      </w:pPr>
      <w:r>
        <w:rPr>
          <w:rFonts w:ascii="Arial" w:cs="Arial" w:eastAsia="Arial" w:hAnsi="Arial"/>
          <w:color w:val="333333"/>
          <w:sz w:val="22"/>
          <w:szCs w:val="22"/>
        </w:rPr>
        <w:t xml:space="preserve">The </w:t>
      </w:r>
      <w:r>
        <w:rPr>
          <w:rFonts w:ascii="Arial" w:cs="Arial" w:eastAsia="Arial" w:hAnsi="Arial"/>
          <w:b/>
          <w:bCs/>
          <w:color w:val="333333"/>
          <w:sz w:val="22"/>
          <w:szCs w:val="22"/>
        </w:rPr>
        <w:t xml:space="preserve">Restart Room</w:t>
      </w:r>
      <w:r>
        <w:rPr>
          <w:rFonts w:ascii="Arial" w:cs="Arial" w:eastAsia="Arial" w:hAnsi="Arial"/>
          <w:color w:val="333333"/>
          <w:sz w:val="22"/>
          <w:szCs w:val="22"/>
        </w:rPr>
        <w:t xml:space="preserve"> goes further. It is a staging environment where minimum-viable-business applications can run temporarily, maintaining essential operations while production is rebuilt. For a pharmaceutical company, this could mean restarting regulatory submission workflows, clinical data management systems, or model inference pipelines from verified clean data. </w:t>
      </w:r>
      <w:r>
        <w:rPr>
          <w:rFonts w:ascii="Arial" w:cs="Arial" w:eastAsia="Arial" w:hAnsi="Arial"/>
          <w:b/>
          <w:bCs/>
          <w:color w:val="333333"/>
          <w:sz w:val="22"/>
          <w:szCs w:val="22"/>
        </w:rPr>
        <w:t xml:space="preserve">Critically, a Restart Room can be provisioned in cloud — enabling business continuity from a different geography when the primary site is compromised.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2440" w:sz="6"/>
              <w:left w:val="single" w:color="0F2440" w:sz="6"/>
              <w:bottom w:val="single" w:color="0F2440" w:sz="6"/>
              <w:right w:val="single" w:color="0F2440" w:sz="6"/>
            </w:tcBorders>
            <w:shd w:fill="F0F4F8" w:val="clear"/>
            <w:tcMar>
              <w:top w:type="dxa" w:w="160"/>
              <w:left w:type="dxa" w:w="200"/>
              <w:bottom w:type="dxa" w:w="160"/>
              <w:right w:type="dxa" w:w="200"/>
            </w:tcMar>
          </w:tcPr>
          <w:p>
            <w:pPr>
              <w:spacing w:after="80"/>
            </w:pPr>
            <w:r>
              <w:rPr>
                <w:rFonts w:ascii="Arial" w:cs="Arial" w:eastAsia="Arial" w:hAnsi="Arial"/>
                <w:b/>
                <w:bCs/>
                <w:color w:val="0F2440"/>
                <w:sz w:val="22"/>
                <w:szCs w:val="22"/>
              </w:rPr>
              <w:t xml:space="preserve">INSIDE THE CYBER RECOVERY VAULT</w:t>
            </w:r>
          </w:p>
          <w:p>
            <w:pPr>
              <w:spacing w:after="120"/>
            </w:pPr>
            <w:r>
              <w:rPr>
                <w:rFonts w:ascii="Arial" w:cs="Arial" w:eastAsia="Arial" w:hAnsi="Arial"/>
                <w:b/>
                <w:bCs/>
                <w:color w:val="333333"/>
                <w:sz w:val="22"/>
                <w:szCs w:val="22"/>
              </w:rPr>
              <w:t xml:space="preserve">Architecture: </w:t>
            </w:r>
            <w:r>
              <w:rPr>
                <w:rFonts w:ascii="Arial" w:cs="Arial" w:eastAsia="Arial" w:hAnsi="Arial"/>
                <w:color w:val="333333"/>
                <w:sz w:val="22"/>
                <w:szCs w:val="22"/>
              </w:rPr>
              <w:t xml:space="preserve">On-premises appliance or cloud-based vault in AWS, Azure, or GCP within a secure VPC. The vault can be replicated off-premises or cross-region where regulation permits, enabling geographic resilience independent of the primary data center.</w:t>
            </w:r>
          </w:p>
          <w:p>
            <w:pPr>
              <w:spacing w:after="120"/>
            </w:pPr>
            <w:r>
              <w:rPr>
                <w:rFonts w:ascii="Arial" w:cs="Arial" w:eastAsia="Arial" w:hAnsi="Arial"/>
                <w:b/>
                <w:bCs/>
                <w:color w:val="333333"/>
                <w:sz w:val="22"/>
                <w:szCs w:val="22"/>
              </w:rPr>
              <w:t xml:space="preserve">Automated Air Gap: </w:t>
            </w:r>
            <w:r>
              <w:rPr>
                <w:rFonts w:ascii="Arial" w:cs="Arial" w:eastAsia="Arial" w:hAnsi="Arial"/>
                <w:color w:val="333333"/>
                <w:sz w:val="22"/>
                <w:szCs w:val="22"/>
              </w:rPr>
              <w:t xml:space="preserve">The network link to production is disabled by policy except during narrow, controlled replication windows. When the air gap is locked, no SSH, HTTPS, or non-data traffic is permitted. Access requires separate security credentials and multi-factor authentication.</w:t>
            </w:r>
          </w:p>
          <w:p>
            <w:pPr>
              <w:spacing w:after="120"/>
            </w:pPr>
            <w:r>
              <w:rPr>
                <w:rFonts w:ascii="Arial" w:cs="Arial" w:eastAsia="Arial" w:hAnsi="Arial"/>
                <w:b/>
                <w:bCs/>
                <w:color w:val="333333"/>
                <w:sz w:val="22"/>
                <w:szCs w:val="22"/>
              </w:rPr>
              <w:t xml:space="preserve">Immutability: </w:t>
            </w:r>
            <w:r>
              <w:rPr>
                <w:rFonts w:ascii="Arial" w:cs="Arial" w:eastAsia="Arial" w:hAnsi="Arial"/>
                <w:color w:val="333333"/>
                <w:sz w:val="22"/>
                <w:szCs w:val="22"/>
              </w:rPr>
              <w:t xml:space="preserve">Retention Lock (governance or compliance mode) enforces data immutability at the hardware level on PowerProtect Data Domain. Data cannot be altered, deleted, or encrypted by any user or process, including administrators.</w:t>
            </w:r>
          </w:p>
          <w:p>
            <w:pPr>
              <w:spacing w:after="120"/>
            </w:pPr>
            <w:r>
              <w:rPr>
                <w:rFonts w:ascii="Arial" w:cs="Arial" w:eastAsia="Arial" w:hAnsi="Arial"/>
                <w:b/>
                <w:bCs/>
                <w:color w:val="333333"/>
                <w:sz w:val="22"/>
                <w:szCs w:val="22"/>
              </w:rPr>
              <w:t xml:space="preserve">CyberSense Intelligence: </w:t>
            </w:r>
            <w:r>
              <w:rPr>
                <w:rFonts w:ascii="Arial" w:cs="Arial" w:eastAsia="Arial" w:hAnsi="Arial"/>
                <w:color w:val="333333"/>
                <w:sz w:val="22"/>
                <w:szCs w:val="22"/>
              </w:rPr>
              <w:t xml:space="preserve">Full-content analytics observe how data changes over time, using ML to detect corruption — including partial encryption, mass deletions, and subtle structural changes in databases and infrastructure files. Scans run inside the vault without rehydration, where malware masking routines cannot interfere. 99.99% detection accuracy validated by ESG.</w:t>
            </w:r>
          </w:p>
          <w:p>
            <w:pPr>
              <w:spacing w:after="120"/>
            </w:pPr>
            <w:r>
              <w:rPr>
                <w:rFonts w:ascii="Arial" w:cs="Arial" w:eastAsia="Arial" w:hAnsi="Arial"/>
                <w:b/>
                <w:bCs/>
                <w:color w:val="333333"/>
                <w:sz w:val="22"/>
                <w:szCs w:val="22"/>
              </w:rPr>
              <w:t xml:space="preserve">Clean Room: </w:t>
            </w:r>
            <w:r>
              <w:rPr>
                <w:rFonts w:ascii="Arial" w:cs="Arial" w:eastAsia="Arial" w:hAnsi="Arial"/>
                <w:color w:val="333333"/>
                <w:sz w:val="22"/>
                <w:szCs w:val="22"/>
              </w:rPr>
              <w:t xml:space="preserve">An isolated recovery environment within or adjacent to the vault where applications are recovered and tested individually, verified free of malware before returning to production. Supports forensic investigation and compliance evidence preservation.</w:t>
            </w:r>
          </w:p>
          <w:p>
            <w:pPr>
              <w:spacing w:after="0"/>
            </w:pPr>
            <w:r>
              <w:rPr>
                <w:rFonts w:ascii="Arial" w:cs="Arial" w:eastAsia="Arial" w:hAnsi="Arial"/>
                <w:b/>
                <w:bCs/>
                <w:color w:val="333333"/>
                <w:sz w:val="22"/>
                <w:szCs w:val="22"/>
              </w:rPr>
              <w:t xml:space="preserve">Restart Room: </w:t>
            </w:r>
            <w:r>
              <w:rPr>
                <w:rFonts w:ascii="Arial" w:cs="Arial" w:eastAsia="Arial" w:hAnsi="Arial"/>
                <w:color w:val="333333"/>
                <w:sz w:val="22"/>
                <w:szCs w:val="22"/>
              </w:rPr>
              <w:t xml:space="preserve">A staging environment where minimum-viable-business applications can run temporarily, maintaining essential operations while production is rebuilt. Can be provisioned in cloud for geographic continuity — resuming regulatory submissions, clinical data systems, or model inference from a different region.</w:t>
            </w:r>
          </w:p>
        </w:tc>
      </w:tr>
    </w:tbl>
    <w:p>
      <w:r>
        <w:br w:type="page"/>
      </w:r>
    </w:p>
    <w:p>
      <w:pPr>
        <w:pStyle w:val="Heading1"/>
      </w:pPr>
      <w:r>
        <w:t xml:space="preserve">Scenario: APT / LockBit 4.0 Attack on Phase 3 Clinical Trial Data</w:t>
      </w:r>
    </w:p>
    <w:p>
      <w:pPr>
        <w:spacing w:after="160"/>
      </w:pPr>
      <w:r>
        <w:rPr>
          <w:rFonts w:ascii="Arial" w:cs="Arial" w:eastAsia="Arial" w:hAnsi="Arial"/>
          <w:color w:val="333333"/>
          <w:sz w:val="22"/>
          <w:szCs w:val="22"/>
        </w:rPr>
        <w:t xml:space="preserve">The following scenario illustrates how the combined Superna + SIEM + Dell Cyber Recovery stack protects a Phase 3 drug candidate’s clinical trial infrastructure. Phase 3 trials typically represent </w:t>
      </w:r>
      <w:r>
        <w:rPr>
          <w:rFonts w:ascii="Arial" w:cs="Arial" w:eastAsia="Arial" w:hAnsi="Arial"/>
          <w:b/>
          <w:bCs/>
          <w:color w:val="333333"/>
          <w:sz w:val="22"/>
          <w:szCs w:val="22"/>
        </w:rPr>
        <w:t xml:space="preserve">$100M–$500M+ in accumulated investment</w:t>
      </w:r>
      <w:r>
        <w:rPr>
          <w:rFonts w:ascii="Arial" w:cs="Arial" w:eastAsia="Arial" w:hAnsi="Arial"/>
          <w:color w:val="333333"/>
          <w:sz w:val="22"/>
          <w:szCs w:val="22"/>
        </w:rPr>
        <w:t xml:space="preserve">, with each month of delay potentially deferring </w:t>
      </w:r>
      <w:r>
        <w:rPr>
          <w:rFonts w:ascii="Arial" w:cs="Arial" w:eastAsia="Arial" w:hAnsi="Arial"/>
          <w:b/>
          <w:bCs/>
          <w:color w:val="333333"/>
          <w:sz w:val="22"/>
          <w:szCs w:val="22"/>
        </w:rPr>
        <w:t xml:space="preserve">$30–$100M in peak-year revenue</w:t>
      </w:r>
      <w:r>
        <w:rPr>
          <w:rFonts w:ascii="Arial" w:cs="Arial" w:eastAsia="Arial" w:hAnsi="Arial"/>
          <w:color w:val="333333"/>
          <w:sz w:val="22"/>
          <w:szCs w:val="22"/>
        </w:rPr>
        <w:t xml:space="preserve"> for a blockbuster candidate. The data involved includes patient health information (PHI) subject to HIPAA and GDPR, proprietary AI models trained on that data, and regulatory submission drafts that represent years of work.</w:t>
      </w:r>
    </w:p>
    <w:p>
      <w:pPr>
        <w:spacing w:after="100" w:before="200"/>
      </w:pPr>
      <w:r>
        <w:rPr>
          <w:rFonts w:ascii="Arial" w:cs="Arial" w:eastAsia="Arial" w:hAnsi="Arial"/>
          <w:b/>
          <w:bCs/>
          <w:color w:val="1B3A5C"/>
          <w:sz w:val="24"/>
          <w:szCs w:val="24"/>
        </w:rPr>
        <w:t xml:space="preserve">Phase 1 — Initial Compromise (Week 0)</w:t>
      </w:r>
    </w:p>
    <w:p>
      <w:pPr>
        <w:spacing w:after="160"/>
      </w:pPr>
      <w:r>
        <w:rPr>
          <w:rFonts w:ascii="Arial" w:cs="Arial" w:eastAsia="Arial" w:hAnsi="Arial"/>
          <w:color w:val="333333"/>
          <w:sz w:val="22"/>
          <w:szCs w:val="22"/>
        </w:rPr>
        <w:t xml:space="preserve">An attacker gains access through a compromised researcher credential (spear-phishing). They establish persistence on the network and begin reconnaissance of PowerScale file shares containing Phase 3 datasets — patient records, efficacy data, regulatory drafts, and AI model training data derived from trial results. </w:t>
      </w:r>
      <w:r>
        <w:rPr>
          <w:rFonts w:ascii="Arial" w:cs="Arial" w:eastAsia="Arial" w:hAnsi="Arial"/>
          <w:i/>
          <w:iCs/>
          <w:color w:val="333333"/>
          <w:sz w:val="22"/>
          <w:szCs w:val="22"/>
        </w:rPr>
        <w:t xml:space="preserve">This activity is invisible to compute-layer security because no GPU workloads are involved.</w:t>
      </w:r>
    </w:p>
    <w:p>
      <w:pPr>
        <w:spacing w:after="100" w:before="200"/>
      </w:pPr>
      <w:r>
        <w:rPr>
          <w:rFonts w:ascii="Arial" w:cs="Arial" w:eastAsia="Arial" w:hAnsi="Arial"/>
          <w:b/>
          <w:bCs/>
          <w:color w:val="1B3A5C"/>
          <w:sz w:val="24"/>
          <w:szCs w:val="24"/>
        </w:rPr>
        <w:t xml:space="preserve">Phase 2 — Lateral Movement and Staging (Weeks 1–3)</w:t>
      </w:r>
    </w:p>
    <w:p>
      <w:pPr>
        <w:spacing w:after="160"/>
      </w:pPr>
      <w:r>
        <w:rPr>
          <w:rFonts w:ascii="Arial" w:cs="Arial" w:eastAsia="Arial" w:hAnsi="Arial"/>
          <w:color w:val="333333"/>
          <w:sz w:val="22"/>
          <w:szCs w:val="22"/>
        </w:rPr>
        <w:t xml:space="preserve">The attacker begins low-and-slow exfiltration of proprietary model weights and trial data through legitimate NFS access patterns. They stage ransomware payloads targeting both production PowerScale and backup infrastructure.</w:t>
      </w:r>
      <w:r>
        <w:rPr>
          <w:rFonts w:ascii="Arial" w:cs="Arial" w:eastAsia="Arial" w:hAnsi="Arial"/>
          <w:b/>
          <w:bCs/>
          <w:color w:val="333333"/>
          <w:sz w:val="22"/>
          <w:szCs w:val="22"/>
        </w:rPr>
        <w:t xml:space="preserve"> Superna detects the behavioral deviation</w:t>
      </w:r>
      <w:r>
        <w:rPr>
          <w:rFonts w:ascii="Arial" w:cs="Arial" w:eastAsia="Arial" w:hAnsi="Arial"/>
          <w:color w:val="333333"/>
          <w:sz w:val="22"/>
          <w:szCs w:val="22"/>
        </w:rPr>
        <w:t xml:space="preserve">: unusual bulk read volumes from the compromised account, off-hours access to restricted clinical datasets, and access pattern anomalies flagged against the researcher’s historical baseline. Superna alerts the SOC via SIEM integration. Automated policy locks the compromised account and snapshots the affected shares.</w:t>
      </w:r>
    </w:p>
    <w:p>
      <w:pPr>
        <w:spacing w:after="100" w:before="200"/>
      </w:pPr>
      <w:r>
        <w:rPr>
          <w:rFonts w:ascii="Arial" w:cs="Arial" w:eastAsia="Arial" w:hAnsi="Arial"/>
          <w:b/>
          <w:bCs/>
          <w:color w:val="1B3A5C"/>
          <w:sz w:val="24"/>
          <w:szCs w:val="24"/>
        </w:rPr>
        <w:t xml:space="preserve">Phase 3 — Containment Prevents Detonation</w:t>
      </w:r>
    </w:p>
    <w:p>
      <w:pPr>
        <w:spacing w:after="160"/>
      </w:pPr>
      <w:r>
        <w:rPr>
          <w:rFonts w:ascii="Arial" w:cs="Arial" w:eastAsia="Arial" w:hAnsi="Arial"/>
          <w:color w:val="333333"/>
          <w:sz w:val="22"/>
          <w:szCs w:val="22"/>
        </w:rPr>
        <w:t xml:space="preserve">Because Superna contained the threat at the storage layer, the ransomware payload never executes at scale. The attacker’s attempt to delete or encrypt backup snapshots is blocked by Superna Smart AirGap. Meanwhile, the Dell Cyber Recovery vault — air-gapped and isolated — was never reachable. CyberSense confirms vault copies are clean by comparing content-level integrity against historical baselines. </w:t>
      </w:r>
      <w:r>
        <w:rPr>
          <w:rFonts w:ascii="Arial" w:cs="Arial" w:eastAsia="Arial" w:hAnsi="Arial"/>
          <w:b/>
          <w:bCs/>
          <w:color w:val="333333"/>
          <w:sz w:val="22"/>
          <w:szCs w:val="22"/>
        </w:rPr>
        <w:t xml:space="preserve">The exfiltrated data volume is identified through Superna’s audit trail, enabling precise breach notification scoping under HIPAA’s 60-day rule.</w:t>
      </w:r>
    </w:p>
    <w:p>
      <w:pPr>
        <w:spacing w:after="100" w:before="200"/>
      </w:pPr>
      <w:r>
        <w:rPr>
          <w:rFonts w:ascii="Arial" w:cs="Arial" w:eastAsia="Arial" w:hAnsi="Arial"/>
          <w:b/>
          <w:bCs/>
          <w:color w:val="1B3A5C"/>
          <w:sz w:val="24"/>
          <w:szCs w:val="24"/>
        </w:rPr>
        <w:t xml:space="preserve">Phase 4 — Recovery and Continuity</w:t>
      </w:r>
    </w:p>
    <w:p>
      <w:pPr>
        <w:spacing w:after="160"/>
      </w:pPr>
      <w:r>
        <w:rPr>
          <w:rFonts w:ascii="Arial" w:cs="Arial" w:eastAsia="Arial" w:hAnsi="Arial"/>
          <w:color w:val="333333"/>
          <w:sz w:val="22"/>
          <w:szCs w:val="22"/>
        </w:rPr>
        <w:t xml:space="preserve">The incident response team uses the Cyber Recovery Clean Room to recover and verify affected clinical trial databases and AI model checkpoints in isolation before restoring to production. If the primary US data center were compromised more broadly — or if a physical threat required evacuation — a cloud-based Restart Room in AWS EU or Azure Europe could be provisioned from an off-premises vault replica. Regulatory submission preparation, clinical data management, and model inference resume from verified clean data in a different geography. Roche’s EMEA operations provide natural continuity, and the vault’s cross-region replication ensures the European Restart Room has current, validated data.</w:t>
      </w:r>
    </w:p>
    <w:p>
      <w:pPr>
        <w:spacing w:after="160"/>
      </w:pPr>
      <w:r>
        <w:rPr>
          <w:rFonts w:ascii="Arial" w:cs="Arial" w:eastAsia="Arial" w:hAnsi="Arial"/>
          <w:b/>
          <w:bCs/>
          <w:color w:val="333333"/>
          <w:sz w:val="22"/>
          <w:szCs w:val="22"/>
        </w:rPr>
        <w:t xml:space="preserve">What was protected:</w:t>
      </w:r>
    </w:p>
    <w:p>
      <w:pPr>
        <w:pStyle w:val="ListParagraph"/>
        <w:numPr>
          <w:ilvl w:val="0"/>
          <w:numId w:val="3"/>
        </w:numPr>
        <w:spacing w:after="80"/>
      </w:pPr>
      <w:r>
        <w:rPr>
          <w:rFonts w:ascii="Arial" w:cs="Arial" w:eastAsia="Arial" w:hAnsi="Arial"/>
          <w:b/>
          <w:bCs/>
          <w:color w:val="333333"/>
          <w:sz w:val="22"/>
          <w:szCs w:val="22"/>
        </w:rPr>
        <w:t xml:space="preserve">PHI: </w:t>
      </w:r>
      <w:r>
        <w:rPr>
          <w:rFonts w:ascii="Arial" w:cs="Arial" w:eastAsia="Arial" w:hAnsi="Arial"/>
          <w:color w:val="333333"/>
          <w:sz w:val="22"/>
          <w:szCs w:val="22"/>
        </w:rPr>
        <w:t xml:space="preserve">Patient data breach was contained to a scoped subset; audit trail enables precise HIPAA notification, avoiding the multi-million-dollar penalties and class-action exposure of an unscoped breach.</w:t>
      </w:r>
    </w:p>
    <w:p>
      <w:pPr>
        <w:pStyle w:val="ListParagraph"/>
        <w:numPr>
          <w:ilvl w:val="0"/>
          <w:numId w:val="3"/>
        </w:numPr>
        <w:spacing w:after="80"/>
      </w:pPr>
      <w:r>
        <w:rPr>
          <w:rFonts w:ascii="Arial" w:cs="Arial" w:eastAsia="Arial" w:hAnsi="Arial"/>
          <w:b/>
          <w:bCs/>
          <w:color w:val="333333"/>
          <w:sz w:val="22"/>
          <w:szCs w:val="22"/>
        </w:rPr>
        <w:t xml:space="preserve">IP: </w:t>
      </w:r>
      <w:r>
        <w:rPr>
          <w:rFonts w:ascii="Arial" w:cs="Arial" w:eastAsia="Arial" w:hAnsi="Arial"/>
          <w:color w:val="333333"/>
          <w:sz w:val="22"/>
          <w:szCs w:val="22"/>
        </w:rPr>
        <w:t xml:space="preserve">Proprietary model weights and training data exfiltration was limited to a quantifiable volume before Superna cut access. Competitive advantage and patent pipeline preserved.</w:t>
      </w:r>
    </w:p>
    <w:p>
      <w:pPr>
        <w:pStyle w:val="ListParagraph"/>
        <w:numPr>
          <w:ilvl w:val="0"/>
          <w:numId w:val="3"/>
        </w:numPr>
        <w:spacing w:after="80"/>
      </w:pPr>
      <w:r>
        <w:rPr>
          <w:rFonts w:ascii="Arial" w:cs="Arial" w:eastAsia="Arial" w:hAnsi="Arial"/>
          <w:b/>
          <w:bCs/>
          <w:color w:val="333333"/>
          <w:sz w:val="22"/>
          <w:szCs w:val="22"/>
        </w:rPr>
        <w:t xml:space="preserve">Dollars: </w:t>
      </w:r>
      <w:r>
        <w:rPr>
          <w:rFonts w:ascii="Arial" w:cs="Arial" w:eastAsia="Arial" w:hAnsi="Arial"/>
          <w:color w:val="333333"/>
          <w:sz w:val="22"/>
          <w:szCs w:val="22"/>
        </w:rPr>
        <w:t xml:space="preserve">The Phase 3 trial — representing $100M–$500M in accumulated investment — was not restarted. GPU infrastructure ($50M+) was not idled for weeks. Recovery took days, not the industry average of 24 days for ransomware incidents.</w:t>
      </w:r>
    </w:p>
    <w:p>
      <w:pPr>
        <w:pStyle w:val="ListParagraph"/>
        <w:numPr>
          <w:ilvl w:val="0"/>
          <w:numId w:val="3"/>
        </w:numPr>
        <w:spacing w:after="80"/>
      </w:pPr>
      <w:r>
        <w:rPr>
          <w:rFonts w:ascii="Arial" w:cs="Arial" w:eastAsia="Arial" w:hAnsi="Arial"/>
          <w:b/>
          <w:bCs/>
          <w:color w:val="333333"/>
          <w:sz w:val="22"/>
          <w:szCs w:val="22"/>
        </w:rPr>
        <w:t xml:space="preserve">Time to market: </w:t>
      </w:r>
      <w:r>
        <w:rPr>
          <w:rFonts w:ascii="Arial" w:cs="Arial" w:eastAsia="Arial" w:hAnsi="Arial"/>
          <w:color w:val="333333"/>
          <w:sz w:val="22"/>
          <w:szCs w:val="22"/>
        </w:rPr>
        <w:t xml:space="preserve">The FDA submission timeline held. Each month of delay on a blockbuster candidate can represent $30–$100M in deferred revenue. The Restart Room capability ensured regulatory submission preparation continued even during incident response.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What’s at Stake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Consequence of Loss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Patient data (PHI)</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HIPAA/GDPR fines ($2M+ per violation category), class-action exposure, loss of patient trust, mandatory breach notification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Proprietary AI model weights &amp; 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Competitive moat destroyed, years of R&amp;D advantage lost, potential patent invalidity if models are leaked pre-filing</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3 clinical trial datasets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FDA submission delayed months to years; each month of delay can represent $30–100M+ in deferred revenue for a blockbuster candidate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Regulatory submission drafts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Restarting submissions from scratch; missed filing windows; competitor advantage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Roche operational systems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Business disruption averaging 24 days for ransomware incidents; research teams idle while 3,500+ GPUs sit unused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Research archives &amp; training 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Years of curated, annotated, irreplaceable datasets lost; no dollar value can reconstruct historical patient cohorts</w:t>
            </w:r>
          </w:p>
        </w:tc>
      </w:tr>
    </w:tbl>
    <w:p>
      <w:r>
        <w:br w:type="page"/>
      </w:r>
    </w:p>
    <w:p>
      <w:pPr>
        <w:pStyle w:val="Heading1"/>
      </w:pPr>
      <w:r>
        <w:t xml:space="preserve">How the Pieces Fit Together</w:t>
      </w:r>
    </w:p>
    <w:p>
      <w:pPr>
        <w:spacing w:after="160"/>
      </w:pPr>
      <w:r>
        <w:rPr>
          <w:rFonts w:ascii="Arial" w:cs="Arial" w:eastAsia="Arial" w:hAnsi="Arial"/>
          <w:color w:val="333333"/>
          <w:sz w:val="22"/>
          <w:szCs w:val="22"/>
        </w:rPr>
        <w:t xml:space="preserve">Each layer addresses a distinct security domain. Together, they create comprehensive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660"/>
        <w:gridCol w:w="15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Domain</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Superna</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Dell Cyber Recovery</w:t>
            </w:r>
          </w:p>
        </w:tc>
        <w:tc>
          <w:tcPr>
            <w:tcW w:type="dxa" w:w="1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NVIDIA SuperPOD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Dell AI Data Platform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Ransomware on storage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All tiers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Vault + Clean Room</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 poisoning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Scanner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CyberSense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Insider threat / exfiltration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Behavioral</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Backup protection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AirGap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Isolated vault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both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Automated containment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Instant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Superna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Clean recovery + verification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Clean Room</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CR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Business continuity (Restart Room)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Cloud or on-prem</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Enhanced by 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Content forensics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Audit trail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CyberSense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Data-in-use encryption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Confidential Computing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Network anomaly detection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BlueField DPUs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Data fluidity archive↔hot↔CMX</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Native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8"/>
                <w:szCs w:val="18"/>
              </w:rPr>
              <w:t xml:space="preserve">Firmware attestation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 Secure Flash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8"/>
                <w:szCs w:val="18"/>
              </w:rPr>
              <w:t xml:space="preserve">—</w:t>
            </w:r>
          </w:p>
        </w:tc>
      </w:tr>
    </w:tbl>
    <w:p>
      <w:pPr>
        <w:spacing w:after="200"/>
      </w:pPr>
    </w:p>
    <w:p>
      <w:pPr>
        <w:pStyle w:val="Heading2"/>
      </w:pPr>
      <w:r>
        <w:t xml:space="preserve">Full NIST Lifecycle Coverage</w:t>
      </w:r>
    </w:p>
    <w:p>
      <w:pPr>
        <w:pStyle w:val="ListParagraph"/>
        <w:numPr>
          <w:ilvl w:val="0"/>
          <w:numId w:val="4"/>
        </w:numPr>
        <w:spacing w:after="80"/>
      </w:pPr>
      <w:r>
        <w:rPr>
          <w:rFonts w:ascii="Arial" w:cs="Arial" w:eastAsia="Arial" w:hAnsi="Arial"/>
          <w:b/>
          <w:bCs/>
          <w:color w:val="333333"/>
          <w:sz w:val="22"/>
          <w:szCs w:val="22"/>
        </w:rPr>
        <w:t xml:space="preserve">Identify: </w:t>
      </w:r>
      <w:r>
        <w:rPr>
          <w:rFonts w:ascii="Arial" w:cs="Arial" w:eastAsia="Arial" w:hAnsi="Arial"/>
          <w:color w:val="333333"/>
          <w:sz w:val="22"/>
          <w:szCs w:val="22"/>
        </w:rPr>
        <w:t xml:space="preserve">Superna data classification, audit, behavioral baseline</w:t>
      </w:r>
    </w:p>
    <w:p>
      <w:pPr>
        <w:pStyle w:val="ListParagraph"/>
        <w:numPr>
          <w:ilvl w:val="0"/>
          <w:numId w:val="4"/>
        </w:numPr>
        <w:spacing w:after="80"/>
      </w:pPr>
      <w:r>
        <w:rPr>
          <w:rFonts w:ascii="Arial" w:cs="Arial" w:eastAsia="Arial" w:hAnsi="Arial"/>
          <w:b/>
          <w:bCs/>
          <w:color w:val="333333"/>
          <w:sz w:val="22"/>
          <w:szCs w:val="22"/>
        </w:rPr>
        <w:t xml:space="preserve">Protect: </w:t>
      </w:r>
      <w:r>
        <w:rPr>
          <w:rFonts w:ascii="Arial" w:cs="Arial" w:eastAsia="Arial" w:hAnsi="Arial"/>
          <w:color w:val="333333"/>
          <w:sz w:val="22"/>
          <w:szCs w:val="22"/>
        </w:rPr>
        <w:t xml:space="preserve">Superna Smart AirGap + Dell Cyber Recovery vault isolation + Dell AI Data Platform governance</w:t>
      </w:r>
    </w:p>
    <w:p>
      <w:pPr>
        <w:pStyle w:val="ListParagraph"/>
        <w:numPr>
          <w:ilvl w:val="0"/>
          <w:numId w:val="4"/>
        </w:numPr>
        <w:spacing w:after="80"/>
      </w:pPr>
      <w:r>
        <w:rPr>
          <w:rFonts w:ascii="Arial" w:cs="Arial" w:eastAsia="Arial" w:hAnsi="Arial"/>
          <w:b/>
          <w:bCs/>
          <w:color w:val="333333"/>
          <w:sz w:val="22"/>
          <w:szCs w:val="22"/>
        </w:rPr>
        <w:t xml:space="preserve">Detect: </w:t>
      </w:r>
      <w:r>
        <w:rPr>
          <w:rFonts w:ascii="Arial" w:cs="Arial" w:eastAsia="Arial" w:hAnsi="Arial"/>
          <w:color w:val="333333"/>
          <w:sz w:val="22"/>
          <w:szCs w:val="22"/>
        </w:rPr>
        <w:t xml:space="preserve">Superna real-time cross-tier detection + CyberSense deep content analytics in the vault</w:t>
      </w:r>
    </w:p>
    <w:p>
      <w:pPr>
        <w:pStyle w:val="ListParagraph"/>
        <w:numPr>
          <w:ilvl w:val="0"/>
          <w:numId w:val="4"/>
        </w:numPr>
        <w:spacing w:after="80"/>
      </w:pPr>
      <w:r>
        <w:rPr>
          <w:rFonts w:ascii="Arial" w:cs="Arial" w:eastAsia="Arial" w:hAnsi="Arial"/>
          <w:b/>
          <w:bCs/>
          <w:color w:val="333333"/>
          <w:sz w:val="22"/>
          <w:szCs w:val="22"/>
        </w:rPr>
        <w:t xml:space="preserve">Respond: </w:t>
      </w:r>
      <w:r>
        <w:rPr>
          <w:rFonts w:ascii="Arial" w:cs="Arial" w:eastAsia="Arial" w:hAnsi="Arial"/>
          <w:color w:val="333333"/>
          <w:sz w:val="22"/>
          <w:szCs w:val="22"/>
        </w:rPr>
        <w:t xml:space="preserve">Superna automated containment + SIEM/SOAR integration + incident scoping via audit trail</w:t>
      </w:r>
    </w:p>
    <w:p>
      <w:pPr>
        <w:pStyle w:val="ListParagraph"/>
        <w:numPr>
          <w:ilvl w:val="0"/>
          <w:numId w:val="4"/>
        </w:numPr>
        <w:spacing w:after="80"/>
      </w:pPr>
      <w:r>
        <w:rPr>
          <w:rFonts w:ascii="Arial" w:cs="Arial" w:eastAsia="Arial" w:hAnsi="Arial"/>
          <w:b/>
          <w:bCs/>
          <w:color w:val="333333"/>
          <w:sz w:val="22"/>
          <w:szCs w:val="22"/>
        </w:rPr>
        <w:t xml:space="preserve">Recover: </w:t>
      </w:r>
      <w:r>
        <w:rPr>
          <w:rFonts w:ascii="Arial" w:cs="Arial" w:eastAsia="Arial" w:hAnsi="Arial"/>
          <w:color w:val="333333"/>
          <w:sz w:val="22"/>
          <w:szCs w:val="22"/>
        </w:rPr>
        <w:t xml:space="preserve">Superna instant snapshot restore + Dell Cyber Recovery vault + Clean Room verification + Restart Room for business continuity</w:t>
      </w:r>
    </w:p>
    <w:p>
      <w:r>
        <w:br w:type="page"/>
      </w:r>
    </w:p>
    <w:p>
      <w:pPr>
        <w:pStyle w:val="Heading1"/>
      </w:pPr>
      <w:r>
        <w:t xml:space="preserve">Why Dell Lightning File System Strengthens the Whole Story</w:t>
      </w:r>
    </w:p>
    <w:p>
      <w:pPr>
        <w:spacing w:after="160"/>
      </w:pPr>
      <w:r>
        <w:rPr>
          <w:rFonts w:ascii="Arial" w:cs="Arial" w:eastAsia="Arial" w:hAnsi="Arial"/>
          <w:color w:val="333333"/>
          <w:sz w:val="22"/>
          <w:szCs w:val="22"/>
        </w:rPr>
        <w:t xml:space="preserve">Where the Dell AI Data Platform adds unique value is in connecting the high-performance tier to the rest of the data estate — and in extending consistent cyber resilience coverage across the full pipeline.</w:t>
      </w:r>
    </w:p>
    <w:p>
      <w:pPr>
        <w:pStyle w:val="ListParagraph"/>
        <w:numPr>
          <w:ilvl w:val="0"/>
          <w:numId w:val="5"/>
        </w:numPr>
        <w:spacing w:after="80"/>
      </w:pPr>
      <w:r>
        <w:rPr>
          <w:rFonts w:ascii="Arial" w:cs="Arial" w:eastAsia="Arial" w:hAnsi="Arial"/>
          <w:b/>
          <w:bCs/>
          <w:color w:val="333333"/>
          <w:sz w:val="22"/>
          <w:szCs w:val="22"/>
        </w:rPr>
        <w:t xml:space="preserve">Data fluidity across tiers: </w:t>
      </w:r>
      <w:r>
        <w:rPr>
          <w:rFonts w:ascii="Arial" w:cs="Arial" w:eastAsia="Arial" w:hAnsi="Arial"/>
          <w:color w:val="333333"/>
          <w:sz w:val="22"/>
          <w:szCs w:val="22"/>
        </w:rPr>
        <w:t xml:space="preserve">Lightning, PowerScale, and object storage run on common Dell Exascale Storage hardware. Data moves from archive to GPU-hot access and into NVIDIA CMX context caches without separate infrastructure.</w:t>
      </w:r>
    </w:p>
    <w:p>
      <w:pPr>
        <w:pStyle w:val="ListParagraph"/>
        <w:numPr>
          <w:ilvl w:val="0"/>
          <w:numId w:val="5"/>
        </w:numPr>
        <w:spacing w:after="80"/>
      </w:pPr>
      <w:r>
        <w:rPr>
          <w:rFonts w:ascii="Arial" w:cs="Arial" w:eastAsia="Arial" w:hAnsi="Arial"/>
          <w:b/>
          <w:bCs/>
          <w:color w:val="333333"/>
          <w:sz w:val="22"/>
          <w:szCs w:val="22"/>
        </w:rPr>
        <w:t xml:space="preserve">Unified Exascale platform: </w:t>
      </w:r>
      <w:r>
        <w:rPr>
          <w:rFonts w:ascii="Arial" w:cs="Arial" w:eastAsia="Arial" w:hAnsi="Arial"/>
          <w:color w:val="333333"/>
          <w:sz w:val="22"/>
          <w:szCs w:val="22"/>
        </w:rPr>
        <w:t xml:space="preserve">The only 3-in-1 platform deploying file, object, and parallel file system engines on common PowerEdge servers — up to 6 TB/s per rack.</w:t>
      </w:r>
    </w:p>
    <w:p>
      <w:pPr>
        <w:pStyle w:val="ListParagraph"/>
        <w:numPr>
          <w:ilvl w:val="0"/>
          <w:numId w:val="5"/>
        </w:numPr>
        <w:spacing w:after="80"/>
      </w:pPr>
      <w:r>
        <w:rPr>
          <w:rFonts w:ascii="Arial" w:cs="Arial" w:eastAsia="Arial" w:hAnsi="Arial"/>
          <w:b/>
          <w:bCs/>
          <w:color w:val="333333"/>
          <w:sz w:val="22"/>
          <w:szCs w:val="22"/>
        </w:rPr>
        <w:t xml:space="preserve">End-to-end Superna coverage: </w:t>
      </w:r>
      <w:r>
        <w:rPr>
          <w:rFonts w:ascii="Arial" w:cs="Arial" w:eastAsia="Arial" w:hAnsi="Arial"/>
          <w:color w:val="333333"/>
          <w:sz w:val="22"/>
          <w:szCs w:val="22"/>
        </w:rPr>
        <w:t xml:space="preserve">The same console that watches PowerScale also watches the GPU-hot tier. No separate security tooling, no coverage gaps.</w:t>
      </w:r>
    </w:p>
    <w:p>
      <w:pPr>
        <w:pStyle w:val="ListParagraph"/>
        <w:numPr>
          <w:ilvl w:val="0"/>
          <w:numId w:val="5"/>
        </w:numPr>
        <w:spacing w:after="80"/>
      </w:pPr>
      <w:r>
        <w:rPr>
          <w:rFonts w:ascii="Arial" w:cs="Arial" w:eastAsia="Arial" w:hAnsi="Arial"/>
          <w:b/>
          <w:bCs/>
          <w:color w:val="333333"/>
          <w:sz w:val="22"/>
          <w:szCs w:val="22"/>
        </w:rPr>
        <w:t xml:space="preserve">Extreme performance: </w:t>
      </w:r>
      <w:r>
        <w:rPr>
          <w:rFonts w:ascii="Arial" w:cs="Arial" w:eastAsia="Arial" w:hAnsi="Arial"/>
          <w:color w:val="333333"/>
          <w:sz w:val="22"/>
          <w:szCs w:val="22"/>
        </w:rPr>
        <w:t xml:space="preserve">Up to 150 GB/s per rack, 20× greater IOPS than traditional scale-out flash, 2× throughput per rack unit.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DF3F8" w:val="clear"/>
            <w:tcMar>
              <w:top w:type="dxa" w:w="160"/>
              <w:left w:type="dxa" w:w="200"/>
              <w:bottom w:type="dxa" w:w="160"/>
              <w:right w:type="dxa" w:w="200"/>
            </w:tcMar>
          </w:tcPr>
          <w:p>
            <w:pPr>
              <w:spacing w:after="80"/>
            </w:pPr>
            <w:r>
              <w:rPr>
                <w:rFonts w:ascii="Arial" w:cs="Arial" w:eastAsia="Arial" w:hAnsi="Arial"/>
                <w:b/>
                <w:bCs/>
                <w:color w:val="2E75B6"/>
                <w:sz w:val="22"/>
                <w:szCs w:val="22"/>
              </w:rPr>
              <w:t xml:space="preserve">THE RESILIENCE ADVANTAGE</w:t>
            </w:r>
          </w:p>
          <w:p>
            <w:r>
              <w:rPr>
                <w:rFonts w:ascii="Arial" w:cs="Arial" w:eastAsia="Arial" w:hAnsi="Arial"/>
                <w:color w:val="333333"/>
                <w:sz w:val="22"/>
                <w:szCs w:val="22"/>
              </w:rPr>
              <w:t xml:space="preserve">When every storage tier shares a common Dell AI Data Platform framework, the entire data pipeline benefits from unified cyber resilience — from Superna’s real-time detection through Dell Cyber Recovery’s vault, Clean Room, and Restart Room. This level of end-to-end consistency is significantly easier to achieve than when the parallel file system is a standalone island.</w:t>
            </w:r>
          </w:p>
        </w:tc>
      </w:tr>
    </w:tbl>
    <w:p>
      <w:r>
        <w:br w:type="page"/>
      </w:r>
    </w:p>
    <w:p>
      <w:pPr>
        <w:pStyle w:val="Heading1"/>
      </w:pPr>
      <w:r>
        <w:t xml:space="preserve">Bringing It All Together</w:t>
      </w:r>
    </w:p>
    <w:p>
      <w:pPr>
        <w:spacing w:after="160"/>
      </w:pPr>
      <w:r>
        <w:rPr>
          <w:rFonts w:ascii="Arial" w:cs="Arial" w:eastAsia="Arial" w:hAnsi="Arial"/>
          <w:color w:val="333333"/>
          <w:sz w:val="22"/>
          <w:szCs w:val="22"/>
        </w:rPr>
        <w:t xml:space="preserve">NVIDIA has built one of the most secure accelerated compute platforms in the world. The opportunity is to bring that same standard of care to the data estate that feeds it.</w:t>
      </w:r>
    </w:p>
    <w:p>
      <w:pPr>
        <w:spacing w:after="160"/>
      </w:pPr>
      <w:r>
        <w:rPr>
          <w:rFonts w:ascii="Arial" w:cs="Arial" w:eastAsia="Arial" w:hAnsi="Arial"/>
          <w:b/>
          <w:bCs/>
          <w:color w:val="333333"/>
          <w:sz w:val="22"/>
          <w:szCs w:val="22"/>
        </w:rPr>
        <w:t xml:space="preserve">Dell’s deep partnership with Roche, NVIDIA, and WWT</w:t>
      </w:r>
      <w:r>
        <w:rPr>
          <w:rFonts w:ascii="Arial" w:cs="Arial" w:eastAsia="Arial" w:hAnsi="Arial"/>
          <w:color w:val="333333"/>
          <w:sz w:val="22"/>
          <w:szCs w:val="22"/>
        </w:rPr>
        <w:t xml:space="preserve"> provides the natural foundation for delivering this complete resilience posture. Each partner brings essential expertise: NVIDIA for compute-layer security, Dell for the AI Data Platform, storage, and Cyber Recovery services, and WWT for systems integration and operational delivery. Superna provides the real-time detection layer that ties storage security together across every tier. The result is a defense-in-depth architecture where no single vendor’s solution is expected to cover everything — and every domain is covered by the partner best equipped for it.</w:t>
      </w:r>
    </w:p>
    <w:p>
      <w:pPr>
        <w:spacing w:after="160"/>
      </w:pPr>
      <w:r>
        <w:rPr>
          <w:rFonts w:ascii="Arial" w:cs="Arial" w:eastAsia="Arial" w:hAnsi="Arial"/>
          <w:color w:val="333333"/>
          <w:sz w:val="22"/>
          <w:szCs w:val="22"/>
        </w:rPr>
        <w:t xml:space="preserve">The Dell AI Data Platform provides data fluidity. Superna provides real-time detection and automated containment. Dell Cyber Recovery provides the air-gapped vault, CyberSense forensics, Clean Room verification, and Restart Room continuity — with the ability to replicate the vault off-premises for geographic resilience. Together with NVIDIA’s compute-layer protections, they form a complete, layered defense.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8"/>
              <w:left w:val="single" w:color="1B3A5C" w:sz="8"/>
              <w:bottom w:val="single" w:color="1B3A5C" w:sz="8"/>
              <w:right w:val="single" w:color="1B3A5C" w:sz="8"/>
            </w:tcBorders>
            <w:shd w:fill="1B3A5C" w:val="clear"/>
            <w:tcMar>
              <w:top w:type="dxa" w:w="200"/>
              <w:left w:type="dxa" w:w="240"/>
              <w:bottom w:type="dxa" w:w="200"/>
              <w:right w:type="dxa" w:w="240"/>
            </w:tcMar>
          </w:tcPr>
          <w:p>
            <w:pPr>
              <w:spacing w:after="160"/>
              <w:jc w:val="center"/>
            </w:pPr>
            <w:r>
              <w:rPr>
                <w:rFonts w:ascii="Arial" w:cs="Arial" w:eastAsia="Arial" w:hAnsi="Arial"/>
                <w:b/>
                <w:bCs/>
                <w:color w:val="FFFFFF"/>
                <w:sz w:val="26"/>
                <w:szCs w:val="26"/>
              </w:rPr>
              <w:t xml:space="preserve">NVIDIA secures the computation.</w:t>
            </w:r>
          </w:p>
          <w:p>
            <w:pPr>
              <w:spacing w:after="160"/>
              <w:jc w:val="center"/>
            </w:pPr>
            <w:r>
              <w:rPr>
                <w:rFonts w:ascii="Arial" w:cs="Arial" w:eastAsia="Arial" w:hAnsi="Arial"/>
                <w:b/>
                <w:bCs/>
                <w:color w:val="FFFFFF"/>
                <w:sz w:val="26"/>
                <w:szCs w:val="26"/>
              </w:rPr>
              <w:t xml:space="preserve">The Dell AI Data Platform powers the data.</w:t>
            </w:r>
          </w:p>
          <w:p>
            <w:pPr>
              <w:spacing w:after="160"/>
              <w:jc w:val="center"/>
            </w:pPr>
            <w:r>
              <w:rPr>
                <w:rFonts w:ascii="Arial" w:cs="Arial" w:eastAsia="Arial" w:hAnsi="Arial"/>
                <w:b/>
                <w:bCs/>
                <w:color w:val="FFFFFF"/>
                <w:sz w:val="26"/>
                <w:szCs w:val="26"/>
              </w:rPr>
              <w:t xml:space="preserve">Superna watches every transition.</w:t>
            </w:r>
          </w:p>
          <w:p>
            <w:pPr>
              <w:spacing w:after="160"/>
              <w:jc w:val="center"/>
            </w:pPr>
            <w:r>
              <w:rPr>
                <w:rFonts w:ascii="Arial" w:cs="Arial" w:eastAsia="Arial" w:hAnsi="Arial"/>
                <w:b/>
                <w:bCs/>
                <w:color w:val="FFFFFF"/>
                <w:sz w:val="26"/>
                <w:szCs w:val="26"/>
              </w:rPr>
              <w:t xml:space="preserve">Dell Cyber Recovery guarantees the path back.</w:t>
            </w:r>
          </w:p>
          <w:p>
            <w:pPr>
              <w:spacing w:after="160"/>
              <w:jc w:val="center"/>
            </w:pPr>
            <w:r>
              <w:rPr>
                <w:rFonts w:ascii="Arial" w:cs="Arial" w:eastAsia="Arial" w:hAnsi="Arial"/>
                <w:color w:val="A0C4E8"/>
                <w:sz w:val="26"/>
                <w:szCs w:val="26"/>
              </w:rPr>
              <w:t xml:space="preserve">—</w:t>
            </w:r>
          </w:p>
          <w:p>
            <w:pPr>
              <w:jc w:val="center"/>
            </w:pPr>
            <w:r>
              <w:rPr>
                <w:rFonts w:ascii="Arial" w:cs="Arial" w:eastAsia="Arial" w:hAnsi="Arial"/>
                <w:i/>
                <w:iCs/>
                <w:color w:val="A0C4E8"/>
                <w:sz w:val="26"/>
                <w:szCs w:val="26"/>
              </w:rPr>
              <w:t xml:space="preserve">Together, a resilience posture worthy of Roche’s science.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tabs>
        <w:tab w:val="right" w:pos="9026"/>
      </w:tabs>
    </w:pPr>
    <w:r>
      <w:rPr>
        <w:rFonts w:ascii="Arial" w:cs="Arial" w:eastAsia="Arial" w:hAnsi="Arial"/>
        <w:i/>
        <w:iCs/>
        <w:color w:val="757575"/>
        <w:sz w:val="18"/>
        <w:szCs w:val="18"/>
      </w:rPr>
      <w:t xml:space="preserve">Roche — Cyber Resilience for the AI Factory</w:t>
    </w:r>
    <w:r>
      <w:rPr>
        <w:rFonts w:ascii="Arial" w:cs="Arial" w:eastAsia="Arial" w:hAnsi="Arial"/>
        <w:i/>
        <w:iCs/>
        <w:color w:val="75757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8"/>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2026-03-24T08:33:46.315Z</dcterms:created>
  <dcterms:modified xsi:type="dcterms:W3CDTF">2026-03-24T08:33:46.316Z</dcterms:modified>
</cp:coreProperties>
</file>

<file path=docProps/custom.xml><?xml version="1.0" encoding="utf-8"?>
<Properties xmlns="http://schemas.openxmlformats.org/officeDocument/2006/custom-properties" xmlns:vt="http://schemas.openxmlformats.org/officeDocument/2006/docPropsVTypes"/>
</file>