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Willard</w:t>
      </w:r>
      <w:r>
        <w:t xml:space="preserve"> </w:t>
      </w:r>
      <w:r>
        <w:t xml:space="preserve">McCarty</w:t>
      </w:r>
    </w:p>
    <w:p>
      <w:pPr>
        <w:pStyle w:val="Date"/>
      </w:pP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t xml:space="preserve"> </w:t>
      </w:r>
      <w:r>
        <w:t xml:space="preserve">(Geertz, 1973, p. 93)</w:t>
      </w:r>
      <w:r>
        <w:rPr>
          <w:rStyle w:val="FootnoteReference"/>
        </w:rPr>
        <w:footnoteReference w:id="23"/>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p. 158)</w:t>
      </w:r>
      <w:r>
        <w:t xml:space="preserve">. By nature modeling defines a ternary relationship in which it mediates epistemologically, between modeler and modeled, researcher and data or theory and the world</w:t>
      </w:r>
      <w:r>
        <w:t xml:space="preserve"> </w:t>
      </w:r>
      <w:r>
        <w:t xml:space="preserve">(Morgan &amp; Morrison, 1999)</w:t>
      </w:r>
      <w:r>
        <w:t xml:space="preserve">.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t xml:space="preserve"> </w:t>
      </w:r>
      <w:r>
        <w:t xml:space="preserve">(Leff, 1972)</w:t>
      </w:r>
      <w:r>
        <w:t xml:space="preserve">. Leff cites, e.g., the historic-graphical notion of</w:t>
      </w:r>
      <w:r>
        <w:t xml:space="preserve"> </w:t>
      </w:r>
      <w:r>
        <w:t xml:space="preserve">“</w:t>
      </w:r>
      <w:r>
        <w:t xml:space="preserve">epoch</w:t>
      </w:r>
      <w:r>
        <w:t xml:space="preserve">”</w:t>
      </w:r>
      <w:r>
        <w:t xml:space="preserve">, but any well-articulated idea would qualify as a model of</w:t>
      </w:r>
      <w:r>
        <w:t xml:space="preserve"> </w:t>
      </w:r>
      <w:r>
        <w:rPr>
          <w:i/>
        </w:rPr>
        <w:t xml:space="preserve">its</w:t>
      </w:r>
      <w:r>
        <w:t xml:space="preserve"> </w:t>
      </w:r>
      <w:r>
        <w:t xml:space="preserve">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t xml:space="preserve">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(Smith, 1985, p. 460)</w:t>
      </w:r>
      <w:r>
        <w:t xml:space="preserve">;</w:t>
      </w:r>
      <w:r>
        <w:t xml:space="preserve"> </w:t>
      </w:r>
      <w:r>
        <w:t xml:space="preserve">(cf. Fetzer, 1999, p. 23)</w:t>
      </w:r>
      <w:r>
        <w:t xml:space="preserve">.</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structures,3 but in any case these structures</w:t>
      </w:r>
      <w:r>
        <w:rPr>
          <w:rStyle w:val="FootnoteReference"/>
        </w:rPr>
        <w:footnoteReference w:id="24"/>
      </w:r>
      <w:r>
        <w:t xml:space="preserve"> </w:t>
      </w:r>
      <w:r>
        <w:t xml:space="preserve">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 of 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w:t>
      </w:r>
      <w:r>
        <w:t xml:space="preserve"> </w:t>
      </w:r>
      <w:r>
        <w:rPr>
          <w:i/>
        </w:rPr>
        <w:t xml:space="preserve">of any</w:t>
      </w:r>
      <w:r>
        <w:t xml:space="preserve"> </w:t>
      </w:r>
      <w:r>
        <w:t xml:space="preserve">sense of closure. Modeling</w:t>
      </w:r>
      <w:r>
        <w:t xml:space="preserve"> </w:t>
      </w:r>
      <w:r>
        <w:rPr>
          <w:i/>
        </w:rPr>
        <w:t xml:space="preserve">for</w:t>
      </w:r>
      <w:r>
        <w:t xml:space="preserve">, Utopian by definition, is denied it in any case.</w:t>
      </w:r>
    </w:p>
    <w:p>
      <w:pPr>
        <w:pStyle w:val="Heading1"/>
      </w:pPr>
      <w:bookmarkStart w:id="25" w:name="learned-complaints"/>
      <w:r>
        <w:t xml:space="preserve">Learned Complaints</w:t>
      </w:r>
      <w:bookmarkEnd w:id="25"/>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t xml:space="preserve"> </w:t>
      </w:r>
      <w:r>
        <w:t xml:space="preserve">(Ziman, 2002, pp. 126–138, 147–150)</w:t>
      </w:r>
      <w:r>
        <w:t xml:space="preserve">;</w:t>
      </w:r>
      <w:r>
        <w:t xml:space="preserve"> </w:t>
      </w:r>
      <w:r>
        <w:t xml:space="preserve">(Toulmin, 2003, pp. 94–109)</w:t>
      </w:r>
      <w:r>
        <w:t xml:space="preserve">.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1"/>
      </w:pPr>
      <w:bookmarkStart w:id="26" w:name="philological-analysis-of-related-terms"/>
      <w:r>
        <w:t xml:space="preserve">Philological Analysis of Related Terms</w:t>
      </w:r>
      <w:bookmarkEnd w:id="2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27"/>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2"/>
      </w:pPr>
      <w:bookmarkStart w:id="28" w:name="analogy"/>
      <w:r>
        <w:t xml:space="preserve">Analogy</w:t>
      </w:r>
      <w:bookmarkEnd w:id="28"/>
    </w:p>
    <w:p>
      <w:pPr>
        <w:pStyle w:val="FirstParagraph"/>
      </w:pP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29"/>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 1995)</w:t>
      </w:r>
      <w:r>
        <w:t xml:space="preserve">. Because modeling is analogical, this work is potentially relevant to questions raised in computing the artifacts of the humanities. We need to pay attention here.</w:t>
      </w:r>
    </w:p>
    <w:p>
      <w:pPr>
        <w:pStyle w:val="Heading2"/>
      </w:pPr>
      <w:bookmarkStart w:id="30" w:name="representation"/>
      <w:r>
        <w:t xml:space="preserve">Representation</w:t>
      </w:r>
      <w:bookmarkEnd w:id="30"/>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w:t>
      </w:r>
      <w:r>
        <w:t xml:space="preserve"> </w:t>
      </w:r>
      <w:r>
        <w:t xml:space="preserve">(1976, pp. 3–41)</w:t>
      </w:r>
      <w:r>
        <w:t xml:space="preserve">.</w:t>
      </w:r>
      <w:r>
        <w:rPr>
          <w:rStyle w:val="FootnoteReference"/>
        </w:rPr>
        <w:footnoteReference w:id="31"/>
      </w:r>
      <w:r>
        <w:t xml:space="preserve"> </w:t>
      </w:r>
      <w:r>
        <w:t xml:space="preserve">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w:t>
      </w:r>
      <w:r>
        <w:t xml:space="preserve"> </w:t>
      </w:r>
      <w:r>
        <w:rPr>
          <w:i/>
        </w:rPr>
        <w:t xml:space="preserve">OED</w:t>
      </w:r>
      <w:r>
        <w:t xml:space="preserve">:</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 of is a manipulable variety of representation – which any representation in software would of course be. The crucial difference between model 0/and representation is the quality of the action implied. Unlike representing, modeling</w:t>
      </w:r>
      <w:r>
        <w:t xml:space="preserve"> </w:t>
      </w:r>
      <w:r>
        <w:rPr>
          <w:i/>
        </w:rPr>
        <w:t xml:space="preserve">of</w:t>
      </w:r>
      <w:r>
        <w:t xml:space="preserve"> </w:t>
      </w:r>
      <w:r>
        <w:t xml:space="preserve">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2"/>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Pr>
      <w:r>
        <w:t xml:space="preserve">(2001: 11–12)</w:t>
      </w:r>
    </w:p>
    <w:p>
      <w:pPr>
        <w:pStyle w:val="FirstParagraph"/>
      </w:pPr>
      <w:r>
        <w:t xml:space="preserve">Projects such as Cyc, based on what Northrop Frye characterized as the discredited</w:t>
      </w:r>
      <w:r>
        <w:t xml:space="preserve"> </w:t>
      </w:r>
      <w:r>
        <w:rPr>
          <w:i/>
        </w:rPr>
        <w:t xml:space="preserve">Wissenschaft-theory</w:t>
      </w:r>
      <w:r>
        <w:t xml:space="preserve"> </w:t>
      </w:r>
      <w:r>
        <w:t xml:space="preserve">of knowledge – that its accumulation in vast quantities will one day, somehow, result in understanding</w:t>
      </w:r>
      <w:r>
        <w:rPr>
          <w:rStyle w:val="FootnoteReference"/>
        </w:rPr>
        <w:footnoteReference w:id="33"/>
      </w:r>
      <w:r>
        <w:t xml:space="preserve"> </w:t>
      </w:r>
      <w:r>
        <w:t xml:space="preserve">– clearly assume if not perfect closure, then a threshold beyond which lack of perfection ceases to matter. But to whom, and for what purposes?</w:t>
      </w:r>
      <w:r>
        <w:rPr>
          <w:rStyle w:val="FootnoteReference"/>
        </w:rPr>
        <w:footnoteReference w:id="34"/>
      </w:r>
      <w:r>
        <w:t xml:space="preserve"> </w:t>
      </w:r>
      <w:r>
        <w:t xml:space="preserve">Apart from such questions, and the serious doubts within computer science on the wisdom of building massive knowledge-bases for expert systems</w:t>
      </w:r>
      <w:r>
        <w:rPr>
          <w:rStyle w:val="FootnoteReference"/>
        </w:rPr>
        <w:footnoteReference w:id="36"/>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p. 12)</w:t>
      </w:r>
      <w:r>
        <w:t xml:space="preserve">, our intellectual claustrophobia tells an important tale. Not, of course, the only one. If the point of modeling is to fail well, then KR has a vital quality-control function to serve.</w:t>
      </w:r>
    </w:p>
    <w:p>
      <w:pPr>
        <w:pStyle w:val="Heading2"/>
      </w:pPr>
      <w:bookmarkStart w:id="37" w:name="diagram"/>
      <w:r>
        <w:t xml:space="preserve">Diagram</w:t>
      </w:r>
      <w:bookmarkEnd w:id="37"/>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38"/>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39"/>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40"/>
      </w:r>
      <w:r>
        <w:t xml:space="preserve"> </w:t>
      </w:r>
      <w:r>
        <w:t xml:space="preserve">That is changing very rapidly now. As a cognitive, reasoning process it is studied in relation to Greek mathematics and geometry in particular</w:t>
      </w:r>
      <w:r>
        <w:t xml:space="preserve"> </w:t>
      </w:r>
      <w:r>
        <w:t xml:space="preserve">(Netz, 2003)</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 Critique of Pure Reason 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41" w:name="map"/>
      <w:r>
        <w:t xml:space="preserve">Map</w:t>
      </w:r>
      <w:bookmarkEnd w:id="41"/>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42"/>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 of or for 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43"/>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t xml:space="preserve"> </w:t>
      </w:r>
      <w:r>
        <w:t xml:space="preserve">(Toulmin, 2003)</w:t>
      </w:r>
      <w:r>
        <w:t xml:space="preserve">, which suggests techniques of automated inferencing in AI. (Maps of argument look like flowcharts.) As a form of data-visualization, mapping also connects with a very strong, recent interest in humanities computing</w:t>
      </w:r>
      <w:r>
        <w:t xml:space="preserve"> </w:t>
      </w:r>
      <w:r>
        <w:t xml:space="preserve">(Kirschenbaum, 2002)</w:t>
      </w:r>
      <w:r>
        <w:t xml:space="preserve">, and so connects this interest with modeling.</w:t>
      </w:r>
    </w:p>
    <w:p>
      <w:pPr>
        <w:pStyle w:val="Heading2"/>
      </w:pPr>
      <w:bookmarkStart w:id="44" w:name="simulation"/>
      <w:r>
        <w:t xml:space="preserve">Simulation</w:t>
      </w:r>
      <w:bookmarkEnd w:id="44"/>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45"/>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w:t>
      </w:r>
      <w:r>
        <w:t xml:space="preserve"> </w:t>
      </w:r>
      <w:r>
        <w:t xml:space="preserve">(Simon, 1996, pp. 15–18)</w:t>
      </w:r>
      <w:r>
        <w:t xml:space="preserve">,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46"/>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47"/>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w:t>
      </w:r>
      <w:r>
        <w:t xml:space="preserve"> </w:t>
      </w:r>
      <w:r>
        <w:t xml:space="preserve">(Burch, 2002)</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48"/>
      </w:r>
      <w:r>
        <w:t xml:space="preserve"> </w:t>
      </w:r>
      <w:r>
        <w:t xml:space="preserve">– and so must be studied as</w:t>
      </w:r>
      <w:r>
        <w:t xml:space="preserve"> </w:t>
      </w:r>
      <w:r>
        <w:rPr>
          <w:i/>
        </w:rPr>
        <w:t xml:space="preserve">simulations</w:t>
      </w:r>
      <w:r>
        <w:t xml:space="preserve">. Thus simulation has opened our eyes to the new problems with which it can deal. In the humanities we have known for some years that computer-based simulations,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w:t>
      </w:r>
      <w:r>
        <w:t xml:space="preserve"> </w:t>
      </w:r>
      <w:r>
        <w:t xml:space="preserve">(Lougee, 1986)</w:t>
      </w:r>
      <w:r>
        <w:t xml:space="preserve">. In other words he or she must become a seventeenth-century Frenchman mentally and emotionally. From more recent and far more technically advanced VR applications, such as Richard Beacham’s and Hugh Denard’s reconstruction of the theater of Pompey in Rome (Beecham and Denard 2003),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1"/>
      </w:pPr>
      <w:bookmarkStart w:id="49" w:name="bibliography"/>
      <w:r>
        <w:t xml:space="preserve">Bibliography</w:t>
      </w:r>
      <w:bookmarkEnd w:id="49"/>
    </w:p>
    <w:bookmarkStart w:id="130" w:name="refs"/>
    <w:bookmarkStart w:id="50" w:name="ref-achinstein_concepts_1968"/>
    <w:p>
      <w:pPr>
        <w:pStyle w:val="Bibliography"/>
      </w:pPr>
      <w:r>
        <w:t xml:space="preserve">Achinstein, P. (1968).</w:t>
      </w:r>
      <w:r>
        <w:t xml:space="preserve"> </w:t>
      </w:r>
      <w:r>
        <w:rPr>
          <w:i/>
        </w:rPr>
        <w:t xml:space="preserve">Concepts of Science: A Philosophical Analysis</w:t>
      </w:r>
      <w:r>
        <w:t xml:space="preserve">. Johns Hopkins University Press.</w:t>
      </w:r>
    </w:p>
    <w:bookmarkEnd w:id="50"/>
    <w:bookmarkStart w:id="51" w:name="ref-magnani_tracing_1999"/>
    <w:p>
      <w:pPr>
        <w:pStyle w:val="Bibliography"/>
      </w:pPr>
      <w:r>
        <w:t xml:space="preserve">Bailer-Jones, D. M. (1999). Tracing the Development of Models in the Philosophy of Science. In L. Magnani, N. J. Nersessian, &amp; P. Thagard (Eds.),</w:t>
      </w:r>
      <w:r>
        <w:t xml:space="preserve"> </w:t>
      </w:r>
      <w:r>
        <w:rPr>
          <w:i/>
        </w:rPr>
        <w:t xml:space="preserve">Model-Based Reasoning in Scientific Discovery</w:t>
      </w:r>
      <w:r>
        <w:t xml:space="preserve"> </w:t>
      </w:r>
      <w:r>
        <w:t xml:space="preserve">(pp. 23–40). Kluwer/Plenum.</w:t>
      </w:r>
    </w:p>
    <w:bookmarkEnd w:id="51"/>
    <w:bookmarkStart w:id="53" w:name="ref-barr_representation_1981"/>
    <w:p>
      <w:pPr>
        <w:pStyle w:val="Bibliography"/>
      </w:pPr>
      <w:r>
        <w:t xml:space="preserve">Barr, A., &amp; Feigenbaum, E. A. (1981). Representation of Knowledge. In A. Barr &amp; E. A. Feigenbaum (Eds.),</w:t>
      </w:r>
      <w:r>
        <w:t xml:space="preserve"> </w:t>
      </w:r>
      <w:r>
        <w:rPr>
          <w:i/>
        </w:rPr>
        <w:t xml:space="preserve">The Handbook of Artificial Intelligence</w:t>
      </w:r>
      <w:r>
        <w:t xml:space="preserve">:</w:t>
      </w:r>
      <w:r>
        <w:t xml:space="preserve"> </w:t>
      </w:r>
      <w:r>
        <w:rPr>
          <w:i/>
        </w:rPr>
        <w:t xml:space="preserve">Vol.</w:t>
      </w:r>
      <w:r>
        <w:t xml:space="preserve"> </w:t>
      </w:r>
      <w:r>
        <w:rPr>
          <w:i/>
        </w:rPr>
        <w:t xml:space="preserve">I</w:t>
      </w:r>
      <w:r>
        <w:t xml:space="preserve">. Retrieved from</w:t>
      </w:r>
      <w:r>
        <w:t xml:space="preserve"> </w:t>
      </w:r>
      <w:hyperlink r:id="rId52">
        <w:r>
          <w:rPr>
            <w:rStyle w:val="Hyperlink"/>
          </w:rPr>
          <w:t xml:space="preserve">https://www.researchgate.net/publication/235126495_Representation_of_Knowledge</w:t>
        </w:r>
      </w:hyperlink>
    </w:p>
    <w:bookmarkEnd w:id="53"/>
    <w:bookmarkStart w:id="54" w:name="ref-bateson_mind_2002"/>
    <w:p>
      <w:pPr>
        <w:pStyle w:val="Bibliography"/>
      </w:pPr>
      <w:r>
        <w:t xml:space="preserve">Bateson, G., &amp; Montuori, A. (2002).</w:t>
      </w:r>
      <w:r>
        <w:t xml:space="preserve"> </w:t>
      </w:r>
      <w:r>
        <w:rPr>
          <w:i/>
        </w:rPr>
        <w:t xml:space="preserve">Mind and Nature: A Necessary Unity</w:t>
      </w:r>
      <w:r>
        <w:t xml:space="preserve"> </w:t>
      </w:r>
      <w:r>
        <w:t xml:space="preserve">(New edition edition). Cresskill, N.J: Hampton Press.</w:t>
      </w:r>
    </w:p>
    <w:bookmarkEnd w:id="54"/>
    <w:bookmarkStart w:id="56" w:name="ref-black_more_1979"/>
    <w:p>
      <w:pPr>
        <w:pStyle w:val="Bibliography"/>
      </w:pPr>
      <w:r>
        <w:t xml:space="preserve">Black, M. (1979). More about metaphor. In A. Ortony (Ed.),</w:t>
      </w:r>
      <w:r>
        <w:t xml:space="preserve"> </w:t>
      </w:r>
      <w:r>
        <w:rPr>
          <w:i/>
        </w:rPr>
        <w:t xml:space="preserve">Metaphor and Thought</w:t>
      </w:r>
      <w:r>
        <w:t xml:space="preserve"> </w:t>
      </w:r>
      <w:r>
        <w:t xml:space="preserve">(pp. 19–39).</w:t>
      </w:r>
      <w:r>
        <w:t xml:space="preserve"> </w:t>
      </w:r>
      <w:hyperlink r:id="rId55">
        <w:r>
          <w:rPr>
            <w:rStyle w:val="Hyperlink"/>
          </w:rPr>
          <w:t xml:space="preserve">https://doi.org/10.1017/CBO9781139173865.004</w:t>
        </w:r>
      </w:hyperlink>
    </w:p>
    <w:bookmarkEnd w:id="56"/>
    <w:bookmarkStart w:id="58" w:name="ref-brooks_intelligence_1991"/>
    <w:p>
      <w:pPr>
        <w:pStyle w:val="Bibliography"/>
      </w:pPr>
      <w:r>
        <w:t xml:space="preserve">Brooks, R. A. (1991). Intelligence without representation.</w:t>
      </w:r>
      <w:r>
        <w:t xml:space="preserve"> </w:t>
      </w:r>
      <w:r>
        <w:rPr>
          <w:i/>
        </w:rPr>
        <w:t xml:space="preserve">Artificial Intelligence</w:t>
      </w:r>
      <w:r>
        <w:t xml:space="preserve">,</w:t>
      </w:r>
      <w:r>
        <w:t xml:space="preserve"> </w:t>
      </w:r>
      <w:r>
        <w:rPr>
          <w:i/>
        </w:rPr>
        <w:t xml:space="preserve">47</w:t>
      </w:r>
      <w:r>
        <w:t xml:space="preserve">(1), 139–159.</w:t>
      </w:r>
      <w:r>
        <w:t xml:space="preserve"> </w:t>
      </w:r>
      <w:hyperlink r:id="rId57">
        <w:r>
          <w:rPr>
            <w:rStyle w:val="Hyperlink"/>
          </w:rPr>
          <w:t xml:space="preserve">https://doi.org/10.1016/0004-3702(91)90053-M</w:t>
        </w:r>
      </w:hyperlink>
    </w:p>
    <w:bookmarkEnd w:id="58"/>
    <w:bookmarkStart w:id="60" w:name="ref-burch_computer_2002"/>
    <w:p>
      <w:pPr>
        <w:pStyle w:val="Bibliography"/>
      </w:pPr>
      <w:r>
        <w:t xml:space="preserve">Burch, T. K. (2002). Computer Modelling of Theory: Explanation for the 21st Century. In R. Franck (Ed.),</w:t>
      </w:r>
      <w:r>
        <w:t xml:space="preserve"> </w:t>
      </w:r>
      <w:r>
        <w:rPr>
          <w:i/>
        </w:rPr>
        <w:t xml:space="preserve">The Explanatory Power of Models: Bridging the Gap between Empirical and Theoretical Research in the Social Sciences</w:t>
      </w:r>
      <w:r>
        <w:t xml:space="preserve"> </w:t>
      </w:r>
      <w:r>
        <w:t xml:space="preserve">(pp. 245–265).</w:t>
      </w:r>
      <w:r>
        <w:t xml:space="preserve"> </w:t>
      </w:r>
      <w:hyperlink r:id="rId59">
        <w:r>
          <w:rPr>
            <w:rStyle w:val="Hyperlink"/>
          </w:rPr>
          <w:t xml:space="preserve">https://doi.org/10.1007/978-1-4020-4676-6_12</w:t>
        </w:r>
      </w:hyperlink>
    </w:p>
    <w:bookmarkEnd w:id="60"/>
    <w:bookmarkStart w:id="61" w:name="ref-cartwright_how_1983"/>
    <w:p>
      <w:pPr>
        <w:pStyle w:val="Bibliography"/>
      </w:pPr>
      <w:r>
        <w:t xml:space="preserve">Cartwright, N. (1983).</w:t>
      </w:r>
      <w:r>
        <w:t xml:space="preserve"> </w:t>
      </w:r>
      <w:r>
        <w:rPr>
          <w:i/>
        </w:rPr>
        <w:t xml:space="preserve">How the Laws of Physics Lie</w:t>
      </w:r>
      <w:r>
        <w:t xml:space="preserve"> </w:t>
      </w:r>
      <w:r>
        <w:t xml:space="preserve">(1 edition). Oxford : New York: Oxford University Press.</w:t>
      </w:r>
    </w:p>
    <w:bookmarkEnd w:id="61"/>
    <w:bookmarkStart w:id="62" w:name="ref-clarke_models_1972"/>
    <w:p>
      <w:pPr>
        <w:pStyle w:val="Bibliography"/>
      </w:pPr>
      <w:r>
        <w:t xml:space="preserve">Clarke, D. L. (1972).</w:t>
      </w:r>
      <w:r>
        <w:t xml:space="preserve"> </w:t>
      </w:r>
      <w:r>
        <w:rPr>
          <w:i/>
        </w:rPr>
        <w:t xml:space="preserve">Models and Paradigms in Contemporary Archaeology. In: Models In Archaeology</w:t>
      </w:r>
      <w:r>
        <w:t xml:space="preserve">. London: Methuen.</w:t>
      </w:r>
    </w:p>
    <w:bookmarkEnd w:id="62"/>
    <w:bookmarkStart w:id="64" w:name="ref-davis_what_1993"/>
    <w:p>
      <w:pPr>
        <w:pStyle w:val="Bibliography"/>
      </w:pPr>
      <w:r>
        <w:t xml:space="preserve">Davis, R., Shrobe, H., &amp; Szolovits, P. (1993). What Is a Knowledge Representation?</w:t>
      </w:r>
      <w:r>
        <w:t xml:space="preserve"> </w:t>
      </w:r>
      <w:r>
        <w:rPr>
          <w:i/>
        </w:rPr>
        <w:t xml:space="preserve">AI Magazine</w:t>
      </w:r>
      <w:r>
        <w:t xml:space="preserve">,</w:t>
      </w:r>
      <w:r>
        <w:t xml:space="preserve"> </w:t>
      </w:r>
      <w:r>
        <w:rPr>
          <w:i/>
        </w:rPr>
        <w:t xml:space="preserve">14</w:t>
      </w:r>
      <w:r>
        <w:t xml:space="preserve">(1), 17–17.</w:t>
      </w:r>
      <w:r>
        <w:t xml:space="preserve"> </w:t>
      </w:r>
      <w:hyperlink r:id="rId63">
        <w:r>
          <w:rPr>
            <w:rStyle w:val="Hyperlink"/>
          </w:rPr>
          <w:t xml:space="preserve">https://doi.org/10.1609/aimag.v14i1.1029</w:t>
        </w:r>
      </w:hyperlink>
    </w:p>
    <w:bookmarkEnd w:id="64"/>
    <w:bookmarkStart w:id="65" w:name="ref-dening_performances_1996"/>
    <w:p>
      <w:pPr>
        <w:pStyle w:val="Bibliography"/>
      </w:pPr>
      <w:r>
        <w:t xml:space="preserve">Dening, G. (1996).</w:t>
      </w:r>
      <w:r>
        <w:t xml:space="preserve"> </w:t>
      </w:r>
      <w:r>
        <w:rPr>
          <w:i/>
        </w:rPr>
        <w:t xml:space="preserve">Performances</w:t>
      </w:r>
      <w:r>
        <w:t xml:space="preserve"> </w:t>
      </w:r>
      <w:r>
        <w:t xml:space="preserve">(1 edition). Chicago: University of Chicago Press.</w:t>
      </w:r>
    </w:p>
    <w:bookmarkEnd w:id="65"/>
    <w:bookmarkStart w:id="66" w:name="ref-dening_readings_1998"/>
    <w:p>
      <w:pPr>
        <w:pStyle w:val="Bibliography"/>
      </w:pPr>
      <w:r>
        <w:t xml:space="preserve">Dening, G. (1998).</w:t>
      </w:r>
      <w:r>
        <w:t xml:space="preserve"> </w:t>
      </w:r>
      <w:r>
        <w:rPr>
          <w:i/>
        </w:rPr>
        <w:t xml:space="preserve">Readings/writings</w:t>
      </w:r>
      <w:r>
        <w:t xml:space="preserve">. Melbourne University Publish.</w:t>
      </w:r>
    </w:p>
    <w:bookmarkEnd w:id="66"/>
    <w:bookmarkStart w:id="67" w:name="ref-dreyfus_micro_1981"/>
    <w:p>
      <w:pPr>
        <w:pStyle w:val="Bibliography"/>
      </w:pPr>
      <w:r>
        <w:t xml:space="preserve">Dreyfus, H. L. (1981). From Micro-Worlds to Knowledge Representation: AI at an Impasse. In J. Haugel (Ed.),</w:t>
      </w:r>
      <w:r>
        <w:t xml:space="preserve"> </w:t>
      </w:r>
      <w:r>
        <w:rPr>
          <w:i/>
        </w:rPr>
        <w:t xml:space="preserve">Mind Design</w:t>
      </w:r>
      <w:r>
        <w:t xml:space="preserve"> </w:t>
      </w:r>
      <w:r>
        <w:t xml:space="preserve">(pp. 161–204). MIT Press.</w:t>
      </w:r>
    </w:p>
    <w:bookmarkEnd w:id="67"/>
    <w:bookmarkStart w:id="69" w:name="ref-elgin_goodman_1998"/>
    <w:p>
      <w:pPr>
        <w:pStyle w:val="Bibliography"/>
      </w:pPr>
      <w:r>
        <w:t xml:space="preserve">Elgin, C. Z. (1998). Goodman, Nelson (1906–98). In</w:t>
      </w:r>
      <w:r>
        <w:t xml:space="preserve"> </w:t>
      </w:r>
      <w:r>
        <w:rPr>
          <w:i/>
        </w:rPr>
        <w:t xml:space="preserve">Routledge Encyclopedia of Philosophy</w:t>
      </w:r>
      <w:r>
        <w:t xml:space="preserve"> </w:t>
      </w:r>
      <w:r>
        <w:t xml:space="preserve">(1st ed.).</w:t>
      </w:r>
      <w:r>
        <w:t xml:space="preserve"> </w:t>
      </w:r>
      <w:hyperlink r:id="rId68">
        <w:r>
          <w:rPr>
            <w:rStyle w:val="Hyperlink"/>
          </w:rPr>
          <w:t xml:space="preserve">https://doi.org/10.4324/9780415249126-M045-1</w:t>
        </w:r>
      </w:hyperlink>
    </w:p>
    <w:bookmarkEnd w:id="69"/>
    <w:bookmarkStart w:id="71" w:name="ref-fetzer_role_1999"/>
    <w:p>
      <w:pPr>
        <w:pStyle w:val="Bibliography"/>
      </w:pPr>
      <w:r>
        <w:t xml:space="preserve">Fetzer, J. H. (1999). The Role of Models in Computer Science.</w:t>
      </w:r>
      <w:r>
        <w:t xml:space="preserve"> </w:t>
      </w:r>
      <w:r>
        <w:rPr>
          <w:i/>
        </w:rPr>
        <w:t xml:space="preserve">The Monist</w:t>
      </w:r>
      <w:r>
        <w:t xml:space="preserve">,</w:t>
      </w:r>
      <w:r>
        <w:t xml:space="preserve"> </w:t>
      </w:r>
      <w:r>
        <w:rPr>
          <w:i/>
        </w:rPr>
        <w:t xml:space="preserve">82</w:t>
      </w:r>
      <w:r>
        <w:t xml:space="preserve">(1), 20–36.</w:t>
      </w:r>
      <w:r>
        <w:t xml:space="preserve"> </w:t>
      </w:r>
      <w:hyperlink r:id="rId70">
        <w:r>
          <w:rPr>
            <w:rStyle w:val="Hyperlink"/>
          </w:rPr>
          <w:t xml:space="preserve">https://doi.org/10.5840/monist19998211</w:t>
        </w:r>
      </w:hyperlink>
    </w:p>
    <w:bookmarkEnd w:id="71"/>
    <w:bookmarkStart w:id="72" w:name="ref-fodor_west_1995"/>
    <w:p>
      <w:pPr>
        <w:pStyle w:val="Bibliography"/>
      </w:pPr>
      <w:r>
        <w:t xml:space="preserve">Fodor, J. (1995). West Coast Fuzzy. Review of Paul M. Churchland, The Engine of Reason, the Seat of the Soul.</w:t>
      </w:r>
      <w:r>
        <w:t xml:space="preserve"> </w:t>
      </w:r>
      <w:r>
        <w:rPr>
          <w:i/>
        </w:rPr>
        <w:t xml:space="preserve">Times Literary Supplement</w:t>
      </w:r>
      <w:r>
        <w:t xml:space="preserve">.</w:t>
      </w:r>
    </w:p>
    <w:bookmarkEnd w:id="72"/>
    <w:bookmarkStart w:id="74" w:name="ref-franck_explanatory_2002"/>
    <w:p>
      <w:pPr>
        <w:pStyle w:val="Bibliography"/>
      </w:pPr>
      <w:r>
        <w:t xml:space="preserve">Franck, R. (Ed.). (2002).</w:t>
      </w:r>
      <w:r>
        <w:t xml:space="preserve"> </w:t>
      </w:r>
      <w:r>
        <w:rPr>
          <w:i/>
        </w:rPr>
        <w:t xml:space="preserve">The Explanatory Power of Models: Bridging the Gap between Empirical and Theoretical Research in the Social Sciences</w:t>
      </w:r>
      <w:r>
        <w:t xml:space="preserve">. Retrieved from</w:t>
      </w:r>
      <w:r>
        <w:t xml:space="preserve"> </w:t>
      </w:r>
      <w:hyperlink r:id="rId73">
        <w:r>
          <w:rPr>
            <w:rStyle w:val="Hyperlink"/>
          </w:rPr>
          <w:t xml:space="preserve">https://www.springer.com/de/book/9781402008672</w:t>
        </w:r>
      </w:hyperlink>
    </w:p>
    <w:bookmarkEnd w:id="74"/>
    <w:bookmarkStart w:id="75" w:name="ref-frye_literary_1991"/>
    <w:p>
      <w:pPr>
        <w:pStyle w:val="Bibliography"/>
      </w:pPr>
      <w:r>
        <w:t xml:space="preserve">Frye, N. (1991). Literary and Mechanical Models. In I. Lancashire (Ed.),</w:t>
      </w:r>
      <w:r>
        <w:t xml:space="preserve"> </w:t>
      </w:r>
      <w:r>
        <w:rPr>
          <w:i/>
        </w:rPr>
        <w:t xml:space="preserve">Research in Humanities Computing 1.</w:t>
      </w:r>
      <w:r>
        <w:t xml:space="preserve"> </w:t>
      </w:r>
      <w:r>
        <w:t xml:space="preserve">(pp. 1–12). Oxford: Clarendon Press.</w:t>
      </w:r>
    </w:p>
    <w:bookmarkEnd w:id="75"/>
    <w:bookmarkStart w:id="76" w:name="ref-geertz_religion_1973"/>
    <w:p>
      <w:pPr>
        <w:pStyle w:val="Bibliography"/>
      </w:pPr>
      <w:r>
        <w:t xml:space="preserve">Geertz, C. (1973). Religion as a Cultural System. In</w:t>
      </w:r>
      <w:r>
        <w:t xml:space="preserve"> </w:t>
      </w:r>
      <w:r>
        <w:rPr>
          <w:i/>
        </w:rPr>
        <w:t xml:space="preserve">The Interpretation of Cultures: Selected Essays</w:t>
      </w:r>
      <w:r>
        <w:t xml:space="preserve">. New York: Basic Books.</w:t>
      </w:r>
    </w:p>
    <w:bookmarkEnd w:id="76"/>
    <w:bookmarkStart w:id="78" w:name="ref-gentner_analogy_2002"/>
    <w:p>
      <w:pPr>
        <w:pStyle w:val="Bibliography"/>
      </w:pPr>
      <w:r>
        <w:t xml:space="preserve">Gentner, D. (2002). Analogy in Scientific Discovery: The Case of Johannes Kepler. In L. Magnani &amp; N. J. Nersessian (Eds.),</w:t>
      </w:r>
      <w:r>
        <w:t xml:space="preserve"> </w:t>
      </w:r>
      <w:r>
        <w:rPr>
          <w:i/>
        </w:rPr>
        <w:t xml:space="preserve">Model-Based Reasoning: Science, Technology, Values</w:t>
      </w:r>
      <w:r>
        <w:t xml:space="preserve"> </w:t>
      </w:r>
      <w:r>
        <w:t xml:space="preserve">(pp. 21–39).</w:t>
      </w:r>
      <w:r>
        <w:t xml:space="preserve"> </w:t>
      </w:r>
      <w:hyperlink r:id="rId77">
        <w:r>
          <w:rPr>
            <w:rStyle w:val="Hyperlink"/>
          </w:rPr>
          <w:t xml:space="preserve">https://doi.org/10.1007/978-1-4615-0605-8_2</w:t>
        </w:r>
      </w:hyperlink>
    </w:p>
    <w:bookmarkEnd w:id="78"/>
    <w:bookmarkStart w:id="79" w:name="ref-gibbs_poetics_1994"/>
    <w:p>
      <w:pPr>
        <w:pStyle w:val="Bibliography"/>
      </w:pPr>
      <w:r>
        <w:t xml:space="preserve">Gibbs, R. W. J. (1994).</w:t>
      </w:r>
      <w:r>
        <w:t xml:space="preserve"> </w:t>
      </w:r>
      <w:r>
        <w:rPr>
          <w:i/>
        </w:rPr>
        <w:t xml:space="preserve">The Poetics of Mind: Figurative Thought, Language, and Understanding</w:t>
      </w:r>
      <w:r>
        <w:t xml:space="preserve">. Cambridge University Press.</w:t>
      </w:r>
    </w:p>
    <w:bookmarkEnd w:id="79"/>
    <w:bookmarkStart w:id="80" w:name="ref-goodman_problems_1972"/>
    <w:p>
      <w:pPr>
        <w:pStyle w:val="Bibliography"/>
      </w:pPr>
      <w:r>
        <w:t xml:space="preserve">Goodman, N. (1972).</w:t>
      </w:r>
      <w:r>
        <w:t xml:space="preserve"> </w:t>
      </w:r>
      <w:r>
        <w:rPr>
          <w:i/>
        </w:rPr>
        <w:t xml:space="preserve">Problems and projects</w:t>
      </w:r>
      <w:r>
        <w:t xml:space="preserve">. Bobbs-Merrill.</w:t>
      </w:r>
    </w:p>
    <w:bookmarkEnd w:id="80"/>
    <w:bookmarkStart w:id="81" w:name="ref-goodman_languages_1976"/>
    <w:p>
      <w:pPr>
        <w:pStyle w:val="Bibliography"/>
      </w:pPr>
      <w:r>
        <w:t xml:space="preserve">Goodman, N. (1976).</w:t>
      </w:r>
      <w:r>
        <w:t xml:space="preserve"> </w:t>
      </w:r>
      <w:r>
        <w:rPr>
          <w:i/>
        </w:rPr>
        <w:t xml:space="preserve">Languages of Art</w:t>
      </w:r>
      <w:r>
        <w:t xml:space="preserve"> </w:t>
      </w:r>
      <w:r>
        <w:t xml:space="preserve">(2 edition). Indianapolis, Ind.: Hackett Publishing Company, Inc.</w:t>
      </w:r>
    </w:p>
    <w:bookmarkEnd w:id="81"/>
    <w:bookmarkStart w:id="83" w:name="ref-guala_models_2002"/>
    <w:p>
      <w:pPr>
        <w:pStyle w:val="Bibliography"/>
      </w:pPr>
      <w:r>
        <w:t xml:space="preserve">Guala, F. (2002). Models, Simulations, and Experiments. In L. Magnani &amp; N. J. Nersessian (Eds.),</w:t>
      </w:r>
      <w:r>
        <w:t xml:space="preserve"> </w:t>
      </w:r>
      <w:r>
        <w:rPr>
          <w:i/>
        </w:rPr>
        <w:t xml:space="preserve">Model-Based Reasoning: Science, Technology, Values</w:t>
      </w:r>
      <w:r>
        <w:t xml:space="preserve"> </w:t>
      </w:r>
      <w:r>
        <w:t xml:space="preserve">(pp. 59–74).</w:t>
      </w:r>
      <w:r>
        <w:t xml:space="preserve"> </w:t>
      </w:r>
      <w:hyperlink r:id="rId82">
        <w:r>
          <w:rPr>
            <w:rStyle w:val="Hyperlink"/>
          </w:rPr>
          <w:t xml:space="preserve">https://doi.org/10.1007/978-1-4615-0605-8_4</w:t>
        </w:r>
      </w:hyperlink>
    </w:p>
    <w:bookmarkEnd w:id="83"/>
    <w:bookmarkStart w:id="84" w:name="ref-hacking_stability_1988"/>
    <w:p>
      <w:pPr>
        <w:pStyle w:val="Bibliography"/>
      </w:pPr>
      <w:r>
        <w:t xml:space="preserve">Hacking, I. (1988). On the Stability of the Laboratory Sciences.</w:t>
      </w:r>
      <w:r>
        <w:t xml:space="preserve"> </w:t>
      </w:r>
      <w:r>
        <w:rPr>
          <w:i/>
        </w:rPr>
        <w:t xml:space="preserve">Journal of Philosophy</w:t>
      </w:r>
      <w:r>
        <w:t xml:space="preserve">,</w:t>
      </w:r>
      <w:r>
        <w:t xml:space="preserve"> </w:t>
      </w:r>
      <w:r>
        <w:rPr>
          <w:i/>
        </w:rPr>
        <w:t xml:space="preserve">85</w:t>
      </w:r>
      <w:r>
        <w:t xml:space="preserve">(10), 507–514.</w:t>
      </w:r>
    </w:p>
    <w:bookmarkEnd w:id="84"/>
    <w:bookmarkStart w:id="86" w:name="ref-hoffman_monster_1995"/>
    <w:p>
      <w:pPr>
        <w:pStyle w:val="Bibliography"/>
      </w:pPr>
      <w:r>
        <w:t xml:space="preserve">Hoffman, R. R. (1995). Monster Analogies.</w:t>
      </w:r>
      <w:r>
        <w:t xml:space="preserve"> </w:t>
      </w:r>
      <w:r>
        <w:rPr>
          <w:i/>
        </w:rPr>
        <w:t xml:space="preserve">AI Magazine</w:t>
      </w:r>
      <w:r>
        <w:t xml:space="preserve">,</w:t>
      </w:r>
      <w:r>
        <w:t xml:space="preserve"> </w:t>
      </w:r>
      <w:r>
        <w:rPr>
          <w:i/>
        </w:rPr>
        <w:t xml:space="preserve">16</w:t>
      </w:r>
      <w:r>
        <w:t xml:space="preserve">(3), 11–11.</w:t>
      </w:r>
      <w:r>
        <w:t xml:space="preserve"> </w:t>
      </w:r>
      <w:hyperlink r:id="rId85">
        <w:r>
          <w:rPr>
            <w:rStyle w:val="Hyperlink"/>
          </w:rPr>
          <w:t xml:space="preserve">https://doi.org/10.1609/aimag.v16i3.1145</w:t>
        </w:r>
      </w:hyperlink>
    </w:p>
    <w:bookmarkEnd w:id="86"/>
    <w:bookmarkStart w:id="87" w:name="ref-holyoak_analogical_1997"/>
    <w:p>
      <w:pPr>
        <w:pStyle w:val="Bibliography"/>
      </w:pPr>
      <w:r>
        <w:t xml:space="preserve">Holyoak, K. J., &amp; Thagard, P. (1997). The Analogical Mind.</w:t>
      </w:r>
      <w:r>
        <w:t xml:space="preserve"> </w:t>
      </w:r>
      <w:r>
        <w:rPr>
          <w:i/>
        </w:rPr>
        <w:t xml:space="preserve">American Psychologist</w:t>
      </w:r>
      <w:r>
        <w:t xml:space="preserve">,</w:t>
      </w:r>
      <w:r>
        <w:t xml:space="preserve"> </w:t>
      </w:r>
      <w:r>
        <w:rPr>
          <w:i/>
        </w:rPr>
        <w:t xml:space="preserve">52</w:t>
      </w:r>
      <w:r>
        <w:t xml:space="preserve">, 35–44.</w:t>
      </w:r>
    </w:p>
    <w:bookmarkEnd w:id="87"/>
    <w:bookmarkStart w:id="89" w:name="ref-hopkins_depiction_2000"/>
    <w:p>
      <w:pPr>
        <w:pStyle w:val="Bibliography"/>
      </w:pPr>
      <w:r>
        <w:t xml:space="preserve">Hopkins, R. (2000). Depiction. In</w:t>
      </w:r>
      <w:r>
        <w:t xml:space="preserve"> </w:t>
      </w:r>
      <w:r>
        <w:rPr>
          <w:i/>
        </w:rPr>
        <w:t xml:space="preserve">Routledge Encyclopedia of Philosophy</w:t>
      </w:r>
      <w:r>
        <w:t xml:space="preserve"> </w:t>
      </w:r>
      <w:r>
        <w:t xml:space="preserve">(1st ed.).</w:t>
      </w:r>
      <w:r>
        <w:t xml:space="preserve"> </w:t>
      </w:r>
      <w:hyperlink r:id="rId88">
        <w:r>
          <w:rPr>
            <w:rStyle w:val="Hyperlink"/>
          </w:rPr>
          <w:t xml:space="preserve">https://doi.org/10.4324/9780415249126-M017-1</w:t>
        </w:r>
      </w:hyperlink>
    </w:p>
    <w:bookmarkEnd w:id="89"/>
    <w:bookmarkStart w:id="91" w:name="ref-johnson_metaphor_2002"/>
    <w:p>
      <w:pPr>
        <w:pStyle w:val="Bibliography"/>
      </w:pPr>
      <w:r>
        <w:t xml:space="preserve">Johnson, M. (2002). Metaphor-Based Values in Scientific Models. In L. Magnani &amp; N. J. Nersessian (Eds.),</w:t>
      </w:r>
      <w:r>
        <w:t xml:space="preserve"> </w:t>
      </w:r>
      <w:r>
        <w:rPr>
          <w:i/>
        </w:rPr>
        <w:t xml:space="preserve">Model-Based Reasoning: Science, Technology, Values</w:t>
      </w:r>
      <w:r>
        <w:t xml:space="preserve"> </w:t>
      </w:r>
      <w:r>
        <w:t xml:space="preserve">(pp. 1–19).</w:t>
      </w:r>
      <w:r>
        <w:t xml:space="preserve"> </w:t>
      </w:r>
      <w:hyperlink r:id="rId90">
        <w:r>
          <w:rPr>
            <w:rStyle w:val="Hyperlink"/>
          </w:rPr>
          <w:t xml:space="preserve">https://doi.org/10.1007/978-1-4615-0605-8_1</w:t>
        </w:r>
      </w:hyperlink>
    </w:p>
    <w:bookmarkEnd w:id="91"/>
    <w:bookmarkStart w:id="92" w:name="ref-kent_data_2000"/>
    <w:p>
      <w:pPr>
        <w:pStyle w:val="Bibliography"/>
      </w:pPr>
      <w:r>
        <w:t xml:space="preserve">Kent, W. (2000).</w:t>
      </w:r>
      <w:r>
        <w:t xml:space="preserve"> </w:t>
      </w:r>
      <w:r>
        <w:rPr>
          <w:i/>
        </w:rPr>
        <w:t xml:space="preserve">Data and Reality</w:t>
      </w:r>
      <w:r>
        <w:t xml:space="preserve"> </w:t>
      </w:r>
      <w:r>
        <w:t xml:space="preserve">(2nd edition). Bloomington: 1st Books.</w:t>
      </w:r>
    </w:p>
    <w:bookmarkEnd w:id="92"/>
    <w:bookmarkStart w:id="93" w:name="ref-kirschenbaum_image_2002"/>
    <w:p>
      <w:pPr>
        <w:pStyle w:val="Bibliography"/>
      </w:pPr>
      <w:r>
        <w:t xml:space="preserve">Kirschenbaum, M. (Ed.). (2002).</w:t>
      </w:r>
      <w:r>
        <w:t xml:space="preserve"> </w:t>
      </w:r>
      <w:r>
        <w:rPr>
          <w:i/>
        </w:rPr>
        <w:t xml:space="preserve">Image-Based Humanities Computing</w:t>
      </w:r>
      <w:r>
        <w:t xml:space="preserve">.</w:t>
      </w:r>
    </w:p>
    <w:bookmarkEnd w:id="93"/>
    <w:bookmarkStart w:id="94" w:name="ref-korzybski_science_1995"/>
    <w:p>
      <w:pPr>
        <w:pStyle w:val="Bibliography"/>
      </w:pPr>
      <w:r>
        <w:t xml:space="preserve">Korzybski, A. (1995).</w:t>
      </w:r>
      <w:r>
        <w:t xml:space="preserve"> </w:t>
      </w:r>
      <w:r>
        <w:rPr>
          <w:i/>
        </w:rPr>
        <w:t xml:space="preserve">Science and Sanity: An Introduction to Non-Aristotelian Systems and General Semantics</w:t>
      </w:r>
      <w:r>
        <w:t xml:space="preserve"> </w:t>
      </w:r>
      <w:r>
        <w:t xml:space="preserve">(5th edition). Brooklyn, N.Y: Institute of General Semantics.</w:t>
      </w:r>
    </w:p>
    <w:bookmarkEnd w:id="94"/>
    <w:bookmarkStart w:id="95" w:name="ref-leatherdale_role_1974"/>
    <w:p>
      <w:pPr>
        <w:pStyle w:val="Bibliography"/>
      </w:pPr>
      <w:r>
        <w:t xml:space="preserve">Leatherdale, W. H. (1974).</w:t>
      </w:r>
      <w:r>
        <w:t xml:space="preserve"> </w:t>
      </w:r>
      <w:r>
        <w:rPr>
          <w:i/>
        </w:rPr>
        <w:t xml:space="preserve">Role of Analogy, Model and Metaphor in Science</w:t>
      </w:r>
      <w:r>
        <w:t xml:space="preserve">. Amsterdam: Elsevier Science Publishing Co Inc.,U.S.</w:t>
      </w:r>
    </w:p>
    <w:bookmarkEnd w:id="95"/>
    <w:bookmarkStart w:id="96" w:name="ref-leff_models_1972"/>
    <w:p>
      <w:pPr>
        <w:pStyle w:val="Bibliography"/>
      </w:pPr>
      <w:r>
        <w:t xml:space="preserve">Leff, G. (1972). Models Inherent in History. In T. Shanin (Ed.),</w:t>
      </w:r>
      <w:r>
        <w:t xml:space="preserve"> </w:t>
      </w:r>
      <w:r>
        <w:rPr>
          <w:i/>
        </w:rPr>
        <w:t xml:space="preserve">Rules of the Game: Cross-Disciplinary Essays on Models in Scholarly Thought</w:t>
      </w:r>
      <w:r>
        <w:t xml:space="preserve">. London: Tavistock Publications Ltd.</w:t>
      </w:r>
    </w:p>
    <w:bookmarkEnd w:id="96"/>
    <w:bookmarkStart w:id="97" w:name="ref-lenat_2001_1998"/>
    <w:p>
      <w:pPr>
        <w:pStyle w:val="Bibliography"/>
      </w:pPr>
      <w:r>
        <w:t xml:space="preserve">Lenat, D. B. (1998). From 2001 to 2001: Common Sense and the Mind of HAL. In D. G. Stork (Ed.),</w:t>
      </w:r>
      <w:r>
        <w:t xml:space="preserve"> </w:t>
      </w:r>
      <w:r>
        <w:rPr>
          <w:i/>
        </w:rPr>
        <w:t xml:space="preserve">HAL’s Legacy: 2001’s Computer as Dream and Reality</w:t>
      </w:r>
      <w:r>
        <w:t xml:space="preserve"> </w:t>
      </w:r>
      <w:r>
        <w:t xml:space="preserve">(pp. 193–209). Cambridge, MA: MIT Press.</w:t>
      </w:r>
    </w:p>
    <w:bookmarkEnd w:id="97"/>
    <w:bookmarkStart w:id="99" w:name="ref-lougee_would_1986"/>
    <w:p>
      <w:pPr>
        <w:pStyle w:val="Bibliography"/>
      </w:pPr>
      <w:r>
        <w:t xml:space="preserve">Lougee, C. C. (1986). The Would-be Gentleman: A Historical Simulation of the France of Louis XIV.</w:t>
      </w:r>
      <w:r>
        <w:t xml:space="preserve"> </w:t>
      </w:r>
      <w:r>
        <w:rPr>
          <w:i/>
        </w:rPr>
        <w:t xml:space="preserve">SIGCUE Outlook</w:t>
      </w:r>
      <w:r>
        <w:t xml:space="preserve">,</w:t>
      </w:r>
      <w:r>
        <w:t xml:space="preserve"> </w:t>
      </w:r>
      <w:r>
        <w:rPr>
          <w:i/>
        </w:rPr>
        <w:t xml:space="preserve">19</w:t>
      </w:r>
      <w:r>
        <w:t xml:space="preserve">(1-2), 15–19.</w:t>
      </w:r>
      <w:r>
        <w:t xml:space="preserve"> </w:t>
      </w:r>
      <w:hyperlink r:id="rId98">
        <w:r>
          <w:rPr>
            <w:rStyle w:val="Hyperlink"/>
          </w:rPr>
          <w:t xml:space="preserve">https://doi.org/10.1145/951656.951657</w:t>
        </w:r>
      </w:hyperlink>
    </w:p>
    <w:bookmarkEnd w:id="99"/>
    <w:bookmarkStart w:id="101" w:name="ref-markman_extending_2000"/>
    <w:p>
      <w:pPr>
        <w:pStyle w:val="Bibliography"/>
      </w:pPr>
      <w:r>
        <w:t xml:space="preserve">Markman, A. B., &amp; Dietrich, E. (2000). Extending the classical view of representation.</w:t>
      </w:r>
      <w:r>
        <w:t xml:space="preserve"> </w:t>
      </w:r>
      <w:r>
        <w:rPr>
          <w:i/>
        </w:rPr>
        <w:t xml:space="preserve">Trends in Cognitive Sciences</w:t>
      </w:r>
      <w:r>
        <w:t xml:space="preserve">,</w:t>
      </w:r>
      <w:r>
        <w:t xml:space="preserve"> </w:t>
      </w:r>
      <w:r>
        <w:rPr>
          <w:i/>
        </w:rPr>
        <w:t xml:space="preserve">4</w:t>
      </w:r>
      <w:r>
        <w:t xml:space="preserve">(12), 470–475. Retrieved from</w:t>
      </w:r>
      <w:r>
        <w:t xml:space="preserve"> </w:t>
      </w:r>
      <w:hyperlink r:id="rId100">
        <w:r>
          <w:rPr>
            <w:rStyle w:val="Hyperlink"/>
          </w:rPr>
          <w:t xml:space="preserve">https://www.academia.edu/6542248/Extending_the_classical_view_of_representation</w:t>
        </w:r>
      </w:hyperlink>
    </w:p>
    <w:bookmarkEnd w:id="101"/>
    <w:bookmarkStart w:id="103" w:name="ref-mccarty_network_2002"/>
    <w:p>
      <w:pPr>
        <w:pStyle w:val="Bibliography"/>
      </w:pPr>
      <w:r>
        <w:t xml:space="preserve">McCarty, W. (2002).</w:t>
      </w:r>
      <w:r>
        <w:t xml:space="preserve"> </w:t>
      </w:r>
      <w:r>
        <w:rPr>
          <w:i/>
        </w:rPr>
        <w:t xml:space="preserve">A Network with a Thousand Entrances: Commentary in an Electronic Age?</w:t>
      </w:r>
      <w:r>
        <w:t xml:space="preserve"> </w:t>
      </w:r>
      <w:r>
        <w:t xml:space="preserve">Retrieved from</w:t>
      </w:r>
      <w:r>
        <w:t xml:space="preserve"> </w:t>
      </w:r>
      <w:hyperlink r:id="rId102">
        <w:r>
          <w:rPr>
            <w:rStyle w:val="Hyperlink"/>
          </w:rPr>
          <w:t xml:space="preserve">https://www.academia.edu/30973245/A_Network_with_a_Thousand_Entrances_Commentary_in_an_Electronic_Age_2002_</w:t>
        </w:r>
      </w:hyperlink>
    </w:p>
    <w:bookmarkEnd w:id="103"/>
    <w:bookmarkStart w:id="104" w:name="ref-minsky_matter_1995"/>
    <w:p>
      <w:pPr>
        <w:pStyle w:val="Bibliography"/>
      </w:pPr>
      <w:r>
        <w:t xml:space="preserve">Minsky, M. L. (1995). Matter, Minds, Models. In M. L. Minsky (Ed.),</w:t>
      </w:r>
      <w:r>
        <w:t xml:space="preserve"> </w:t>
      </w:r>
      <w:r>
        <w:rPr>
          <w:i/>
        </w:rPr>
        <w:t xml:space="preserve">Semantic Information Processing</w:t>
      </w:r>
      <w:r>
        <w:t xml:space="preserve">. MIT Press.</w:t>
      </w:r>
    </w:p>
    <w:bookmarkEnd w:id="104"/>
    <w:bookmarkStart w:id="106" w:name="ref-mironesco_role_2002"/>
    <w:p>
      <w:pPr>
        <w:pStyle w:val="Bibliography"/>
      </w:pPr>
      <w:r>
        <w:t xml:space="preserve">Mironesco, C. (2002). The Role of Models in Comparative Politics. In R. Franck (Ed.),</w:t>
      </w:r>
      <w:r>
        <w:t xml:space="preserve"> </w:t>
      </w:r>
      <w:r>
        <w:rPr>
          <w:i/>
        </w:rPr>
        <w:t xml:space="preserve">The Explanatory Power of Models: Bridging the Gap between Empirical and Theoretical Research in the Social Sciences</w:t>
      </w:r>
      <w:r>
        <w:t xml:space="preserve"> </w:t>
      </w:r>
      <w:r>
        <w:t xml:space="preserve">(pp. 181–195).</w:t>
      </w:r>
      <w:r>
        <w:t xml:space="preserve"> </w:t>
      </w:r>
      <w:hyperlink r:id="rId105">
        <w:r>
          <w:rPr>
            <w:rStyle w:val="Hyperlink"/>
          </w:rPr>
          <w:t xml:space="preserve">https://doi.org/10.1007/978-1-4020-4676-6_10</w:t>
        </w:r>
      </w:hyperlink>
    </w:p>
    <w:bookmarkEnd w:id="106"/>
    <w:bookmarkStart w:id="107" w:name="ref-mitchell_analogy_1993"/>
    <w:p>
      <w:pPr>
        <w:pStyle w:val="Bibliography"/>
      </w:pPr>
      <w:r>
        <w:t xml:space="preserve">Mitchell, M. (1993).</w:t>
      </w:r>
      <w:r>
        <w:t xml:space="preserve"> </w:t>
      </w:r>
      <w:r>
        <w:rPr>
          <w:i/>
        </w:rPr>
        <w:t xml:space="preserve">Analogy-Making as Perception</w:t>
      </w:r>
      <w:r>
        <w:t xml:space="preserve">. Cambridge, Mass.: MIT Press.</w:t>
      </w:r>
    </w:p>
    <w:bookmarkEnd w:id="107"/>
    <w:bookmarkStart w:id="108" w:name="ref-monmonier_how_1996"/>
    <w:p>
      <w:pPr>
        <w:pStyle w:val="Bibliography"/>
      </w:pPr>
      <w:r>
        <w:t xml:space="preserve">Monmonier, M. (1996).</w:t>
      </w:r>
      <w:r>
        <w:t xml:space="preserve"> </w:t>
      </w:r>
      <w:r>
        <w:rPr>
          <w:i/>
        </w:rPr>
        <w:t xml:space="preserve">How to Lie with Maps</w:t>
      </w:r>
      <w:r>
        <w:t xml:space="preserve">. University of Chicago Press.</w:t>
      </w:r>
    </w:p>
    <w:bookmarkEnd w:id="108"/>
    <w:bookmarkStart w:id="109" w:name="ref-morgan_models_1999"/>
    <w:p>
      <w:pPr>
        <w:pStyle w:val="Bibliography"/>
      </w:pPr>
      <w:r>
        <w:t xml:space="preserve">Morgan, M. S., &amp; Morrison, M. (1999).</w:t>
      </w:r>
      <w:r>
        <w:t xml:space="preserve"> </w:t>
      </w:r>
      <w:r>
        <w:rPr>
          <w:i/>
        </w:rPr>
        <w:t xml:space="preserve">Models as Mediators: Perspectives on Natural and Social Science</w:t>
      </w:r>
      <w:r>
        <w:t xml:space="preserve">. Cambridge University Press.</w:t>
      </w:r>
    </w:p>
    <w:bookmarkEnd w:id="109"/>
    <w:bookmarkStart w:id="110" w:name="ref-netz_shaping_2003"/>
    <w:p>
      <w:pPr>
        <w:pStyle w:val="Bibliography"/>
      </w:pPr>
      <w:r>
        <w:t xml:space="preserve">Netz, R. (2003).</w:t>
      </w:r>
      <w:r>
        <w:t xml:space="preserve"> </w:t>
      </w:r>
      <w:r>
        <w:rPr>
          <w:i/>
        </w:rPr>
        <w:t xml:space="preserve">The Shaping of Deduction in Greek Mathematics: A Study in Cognitive History</w:t>
      </w:r>
      <w:r>
        <w:t xml:space="preserve"> </w:t>
      </w:r>
      <w:r>
        <w:t xml:space="preserve">(1 edition). Cambridge: Cambridge University Press.</w:t>
      </w:r>
    </w:p>
    <w:bookmarkEnd w:id="110"/>
    <w:bookmarkStart w:id="111" w:name="ref-robinson_nature_1976"/>
    <w:p>
      <w:pPr>
        <w:pStyle w:val="Bibliography"/>
      </w:pPr>
      <w:r>
        <w:t xml:space="preserve">Robinson, A. H., &amp; Petchenik, B. B. (1976).</w:t>
      </w:r>
      <w:r>
        <w:t xml:space="preserve"> </w:t>
      </w:r>
      <w:r>
        <w:rPr>
          <w:i/>
        </w:rPr>
        <w:t xml:space="preserve">The Nature of Maps: Essays toward Understanding Maps and Mapping</w:t>
      </w:r>
      <w:r>
        <w:t xml:space="preserve">. Chicago: University of Chicago Press.</w:t>
      </w:r>
    </w:p>
    <w:bookmarkEnd w:id="111"/>
    <w:bookmarkStart w:id="112" w:name="ref-rowe_theoretical_1998"/>
    <w:p>
      <w:pPr>
        <w:pStyle w:val="Bibliography"/>
      </w:pPr>
      <w:r>
        <w:t xml:space="preserve">Rowe, G. (1998).</w:t>
      </w:r>
      <w:r>
        <w:t xml:space="preserve"> </w:t>
      </w:r>
      <w:r>
        <w:rPr>
          <w:i/>
        </w:rPr>
        <w:t xml:space="preserve">Theoretical Models in Biology: The Origin of Life, the Immune System, and the Brain</w:t>
      </w:r>
      <w:r>
        <w:t xml:space="preserve"> </w:t>
      </w:r>
      <w:r>
        <w:t xml:space="preserve">(Reprint edition). Oxford: Clarendon Press.</w:t>
      </w:r>
    </w:p>
    <w:bookmarkEnd w:id="112"/>
    <w:bookmarkStart w:id="114" w:name="ref-shelley_analogy_2002"/>
    <w:p>
      <w:pPr>
        <w:pStyle w:val="Bibliography"/>
      </w:pPr>
      <w:r>
        <w:t xml:space="preserve">Shelley, C. (2002). Analogy Counterarguments and the Acceptability of Analogical Hypotheses.</w:t>
      </w:r>
      <w:r>
        <w:t xml:space="preserve"> </w:t>
      </w:r>
      <w:r>
        <w:rPr>
          <w:i/>
        </w:rPr>
        <w:t xml:space="preserve">The British Journal for the Philosophy of Science</w:t>
      </w:r>
      <w:r>
        <w:t xml:space="preserve">,</w:t>
      </w:r>
      <w:r>
        <w:t xml:space="preserve"> </w:t>
      </w:r>
      <w:r>
        <w:rPr>
          <w:i/>
        </w:rPr>
        <w:t xml:space="preserve">53</w:t>
      </w:r>
      <w:r>
        <w:t xml:space="preserve">(4), 477–496. Retrieved from</w:t>
      </w:r>
      <w:r>
        <w:t xml:space="preserve"> </w:t>
      </w:r>
      <w:hyperlink r:id="rId113">
        <w:r>
          <w:rPr>
            <w:rStyle w:val="Hyperlink"/>
          </w:rPr>
          <w:t xml:space="preserve">https://www.jstor.org/stable/3541820</w:t>
        </w:r>
      </w:hyperlink>
    </w:p>
    <w:bookmarkEnd w:id="114"/>
    <w:bookmarkStart w:id="116" w:name="ref-shin_diagrams_2018"/>
    <w:p>
      <w:pPr>
        <w:pStyle w:val="Bibliography"/>
      </w:pPr>
      <w:r>
        <w:t xml:space="preserve">Shin, S.-J., Lemon, O., &amp; Mumma, J. (2018). Diagrams. In E. N. Zalta (Ed.),</w:t>
      </w:r>
      <w:r>
        <w:t xml:space="preserve"> </w:t>
      </w:r>
      <w:r>
        <w:rPr>
          <w:i/>
        </w:rPr>
        <w:t xml:space="preserve">The Stanford Encyclopedia of Philosophy</w:t>
      </w:r>
      <w:r>
        <w:t xml:space="preserve"> </w:t>
      </w:r>
      <w:r>
        <w:t xml:space="preserve">(Winter 2018). Retrieved from</w:t>
      </w:r>
      <w:r>
        <w:t xml:space="preserve"> </w:t>
      </w:r>
      <w:hyperlink r:id="rId115">
        <w:r>
          <w:rPr>
            <w:rStyle w:val="Hyperlink"/>
          </w:rPr>
          <w:t xml:space="preserve">https://plato.stanford.edu/archives/win2018/entries/diagrams/</w:t>
        </w:r>
      </w:hyperlink>
    </w:p>
    <w:bookmarkEnd w:id="116"/>
    <w:bookmarkStart w:id="117" w:name="ref-simon_sciences_1996"/>
    <w:p>
      <w:pPr>
        <w:pStyle w:val="Bibliography"/>
      </w:pPr>
      <w:r>
        <w:t xml:space="preserve">Simon, H. A. (1996).</w:t>
      </w:r>
      <w:r>
        <w:t xml:space="preserve"> </w:t>
      </w:r>
      <w:r>
        <w:rPr>
          <w:i/>
        </w:rPr>
        <w:t xml:space="preserve">The Sciences of the Artificial - 3rd Edition</w:t>
      </w:r>
      <w:r>
        <w:t xml:space="preserve"> </w:t>
      </w:r>
      <w:r>
        <w:t xml:space="preserve">(3rd edition). Cambridge, Mass: MIT Press.</w:t>
      </w:r>
    </w:p>
    <w:bookmarkEnd w:id="117"/>
    <w:bookmarkStart w:id="118" w:name="ref-smith_limits_1985"/>
    <w:p>
      <w:pPr>
        <w:pStyle w:val="Bibliography"/>
      </w:pPr>
      <w:r>
        <w:t xml:space="preserve">Smith, B. C. (1985). The Limits of Correctness.</w:t>
      </w:r>
      <w:r>
        <w:t xml:space="preserve"> </w:t>
      </w:r>
      <w:r>
        <w:rPr>
          <w:i/>
        </w:rPr>
        <w:t xml:space="preserve">Acm Sigcas Computers and Society</w:t>
      </w:r>
      <w:r>
        <w:t xml:space="preserve">,</w:t>
      </w:r>
      <w:r>
        <w:t xml:space="preserve"> </w:t>
      </w:r>
      <w:r>
        <w:rPr>
          <w:i/>
        </w:rPr>
        <w:t xml:space="preserve">14</w:t>
      </w:r>
      <w:r>
        <w:t xml:space="preserve">(1), 18–26.</w:t>
      </w:r>
    </w:p>
    <w:bookmarkEnd w:id="118"/>
    <w:bookmarkStart w:id="119" w:name="ref-sowa_knowledge_2000"/>
    <w:p>
      <w:pPr>
        <w:pStyle w:val="Bibliography"/>
      </w:pPr>
      <w:r>
        <w:t xml:space="preserve">Sowa, J. F. (2000).</w:t>
      </w:r>
      <w:r>
        <w:t xml:space="preserve"> </w:t>
      </w:r>
      <w:r>
        <w:rPr>
          <w:i/>
        </w:rPr>
        <w:t xml:space="preserve">Knowledge Representation: Logical, Philosophical, and Computational Foundations</w:t>
      </w:r>
      <w:r>
        <w:t xml:space="preserve"> </w:t>
      </w:r>
      <w:r>
        <w:t xml:space="preserve">(1st edition). Pacific Grove: Brooks / Cole.</w:t>
      </w:r>
    </w:p>
    <w:bookmarkEnd w:id="119"/>
    <w:bookmarkStart w:id="120" w:name="ref-toulmin_uses_2003"/>
    <w:p>
      <w:pPr>
        <w:pStyle w:val="Bibliography"/>
      </w:pPr>
      <w:r>
        <w:t xml:space="preserve">Toulmin, S. E. (2003).</w:t>
      </w:r>
      <w:r>
        <w:t xml:space="preserve"> </w:t>
      </w:r>
      <w:r>
        <w:rPr>
          <w:i/>
        </w:rPr>
        <w:t xml:space="preserve">The Uses of Argument</w:t>
      </w:r>
      <w:r>
        <w:t xml:space="preserve">. Cambridge University Press.</w:t>
      </w:r>
    </w:p>
    <w:bookmarkEnd w:id="120"/>
    <w:bookmarkStart w:id="121" w:name="ref-turnbull_maps_1994"/>
    <w:p>
      <w:pPr>
        <w:pStyle w:val="Bibliography"/>
      </w:pPr>
      <w:r>
        <w:t xml:space="preserve">Turnbull, D. (1994).</w:t>
      </w:r>
      <w:r>
        <w:t xml:space="preserve"> </w:t>
      </w:r>
      <w:r>
        <w:rPr>
          <w:i/>
        </w:rPr>
        <w:t xml:space="preserve">Maps are Territories: Science is an Atlas</w:t>
      </w:r>
      <w:r>
        <w:t xml:space="preserve"> </w:t>
      </w:r>
      <w:r>
        <w:t xml:space="preserve">(1 edition). Chicago: University Of Chicago Press.</w:t>
      </w:r>
    </w:p>
    <w:bookmarkEnd w:id="121"/>
    <w:bookmarkStart w:id="122" w:name="ref-turner_raymond_1995"/>
    <w:p>
      <w:pPr>
        <w:pStyle w:val="Bibliography"/>
      </w:pPr>
      <w:r>
        <w:t xml:space="preserve">Turner, M. (1995). Raymond W. Gibbs, Jr.,The Poetics of Mind: Figurative Thought, Language, and Understanding.</w:t>
      </w:r>
      <w:r>
        <w:t xml:space="preserve"> </w:t>
      </w:r>
      <w:r>
        <w:rPr>
          <w:i/>
        </w:rPr>
        <w:t xml:space="preserve">Pragmatics and Cognitionpragmatics and Cognition</w:t>
      </w:r>
      <w:r>
        <w:t xml:space="preserve">,</w:t>
      </w:r>
      <w:r>
        <w:t xml:space="preserve"> </w:t>
      </w:r>
      <w:r>
        <w:rPr>
          <w:i/>
        </w:rPr>
        <w:t xml:space="preserve">3</w:t>
      </w:r>
      <w:r>
        <w:t xml:space="preserve">(1), 181–187.</w:t>
      </w:r>
    </w:p>
    <w:bookmarkEnd w:id="122"/>
    <w:bookmarkStart w:id="123" w:name="ref-turner_literary_1998"/>
    <w:p>
      <w:pPr>
        <w:pStyle w:val="Bibliography"/>
      </w:pPr>
      <w:r>
        <w:t xml:space="preserve">Turner, M. (1998).</w:t>
      </w:r>
      <w:r>
        <w:t xml:space="preserve"> </w:t>
      </w:r>
      <w:r>
        <w:rPr>
          <w:i/>
        </w:rPr>
        <w:t xml:space="preserve">The Literary Mind: The Origins of Thought and Language</w:t>
      </w:r>
      <w:r>
        <w:t xml:space="preserve"> </w:t>
      </w:r>
      <w:r>
        <w:t xml:space="preserve">(Revised ed. edition). New York: Oxford University Press.</w:t>
      </w:r>
    </w:p>
    <w:bookmarkEnd w:id="123"/>
    <w:bookmarkStart w:id="124" w:name="ref-winder_textpert_1996"/>
    <w:p>
      <w:pPr>
        <w:pStyle w:val="Bibliography"/>
      </w:pPr>
      <w:r>
        <w:t xml:space="preserve">Winder, W. (1996). Textpert Systems.</w:t>
      </w:r>
      <w:r>
        <w:t xml:space="preserve"> </w:t>
      </w:r>
      <w:r>
        <w:rPr>
          <w:i/>
        </w:rPr>
        <w:t xml:space="preserve">Text Technology</w:t>
      </w:r>
      <w:r>
        <w:t xml:space="preserve">,</w:t>
      </w:r>
      <w:r>
        <w:t xml:space="preserve"> </w:t>
      </w:r>
      <w:r>
        <w:rPr>
          <w:i/>
        </w:rPr>
        <w:t xml:space="preserve">6</w:t>
      </w:r>
      <w:r>
        <w:t xml:space="preserve">(3).</w:t>
      </w:r>
    </w:p>
    <w:bookmarkEnd w:id="124"/>
    <w:bookmarkStart w:id="125" w:name="ref-winograd_thinking_1991"/>
    <w:p>
      <w:pPr>
        <w:pStyle w:val="Bibliography"/>
      </w:pPr>
      <w:r>
        <w:t xml:space="preserve">Winograd, T. (1991). Thinking Machines: Can There Be? Are We?</w:t>
      </w:r>
      <w:r>
        <w:t xml:space="preserve"> </w:t>
      </w:r>
      <w:r>
        <w:rPr>
          <w:i/>
        </w:rPr>
        <w:t xml:space="preserve">Informatica (Slovenia)</w:t>
      </w:r>
      <w:r>
        <w:t xml:space="preserve">,</w:t>
      </w:r>
      <w:r>
        <w:t xml:space="preserve"> </w:t>
      </w:r>
      <w:r>
        <w:rPr>
          <w:i/>
        </w:rPr>
        <w:t xml:space="preserve">19</w:t>
      </w:r>
      <w:r>
        <w:t xml:space="preserve">.</w:t>
      </w:r>
    </w:p>
    <w:bookmarkEnd w:id="125"/>
    <w:bookmarkStart w:id="126" w:name="ref-winograd_understanding_1987"/>
    <w:p>
      <w:pPr>
        <w:pStyle w:val="Bibliography"/>
      </w:pPr>
      <w:r>
        <w:t xml:space="preserve">Winograd, T., &amp; Flores, F. (1987).</w:t>
      </w:r>
      <w:r>
        <w:t xml:space="preserve"> </w:t>
      </w:r>
      <w:r>
        <w:rPr>
          <w:i/>
        </w:rPr>
        <w:t xml:space="preserve">Understanding Computers and Cognition: A New Foundation for Design</w:t>
      </w:r>
      <w:r>
        <w:t xml:space="preserve"> </w:t>
      </w:r>
      <w:r>
        <w:t xml:space="preserve">(First Printing edition). Boston: Addison-Wesley Professional.</w:t>
      </w:r>
    </w:p>
    <w:bookmarkEnd w:id="126"/>
    <w:bookmarkStart w:id="127" w:name="ref-winsberg_simulations_2001"/>
    <w:p>
      <w:pPr>
        <w:pStyle w:val="Bibliography"/>
      </w:pPr>
      <w:r>
        <w:t xml:space="preserve">Winsberg, E. (2001). Simulations, Models, and Theories: Complex Physical Systems and Their Representations.</w:t>
      </w:r>
      <w:r>
        <w:t xml:space="preserve"> </w:t>
      </w:r>
      <w:r>
        <w:rPr>
          <w:i/>
        </w:rPr>
        <w:t xml:space="preserve">Proceedings of the Philosophy of Science Association</w:t>
      </w:r>
      <w:r>
        <w:t xml:space="preserve">,</w:t>
      </w:r>
      <w:r>
        <w:t xml:space="preserve"> </w:t>
      </w:r>
      <w:r>
        <w:rPr>
          <w:i/>
        </w:rPr>
        <w:t xml:space="preserve">2001</w:t>
      </w:r>
      <w:r>
        <w:t xml:space="preserve">(3), S442.</w:t>
      </w:r>
    </w:p>
    <w:bookmarkEnd w:id="127"/>
    <w:bookmarkStart w:id="128" w:name="ref-wood_power_1992"/>
    <w:p>
      <w:pPr>
        <w:pStyle w:val="Bibliography"/>
      </w:pPr>
      <w:r>
        <w:t xml:space="preserve">Wood, D. (1992).</w:t>
      </w:r>
      <w:r>
        <w:t xml:space="preserve"> </w:t>
      </w:r>
      <w:r>
        <w:rPr>
          <w:i/>
        </w:rPr>
        <w:t xml:space="preserve">The Power Of Maps</w:t>
      </w:r>
      <w:r>
        <w:t xml:space="preserve"> </w:t>
      </w:r>
      <w:r>
        <w:t xml:space="preserve">(1 edition). New York: Guilford Press.</w:t>
      </w:r>
    </w:p>
    <w:bookmarkEnd w:id="128"/>
    <w:bookmarkStart w:id="129" w:name="ref-ziman_real_2002"/>
    <w:p>
      <w:pPr>
        <w:pStyle w:val="Bibliography"/>
      </w:pPr>
      <w:r>
        <w:t xml:space="preserve">Ziman. (2002).</w:t>
      </w:r>
      <w:r>
        <w:t xml:space="preserve"> </w:t>
      </w:r>
      <w:r>
        <w:rPr>
          <w:i/>
        </w:rPr>
        <w:t xml:space="preserve">Real Science: What it Is, and What it Means</w:t>
      </w:r>
      <w:r>
        <w:t xml:space="preserve">. Cambridge: Cambridge University Press.</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(Hacking, 1988)</w:t>
      </w:r>
      <w:r>
        <w:t xml:space="preserve">. Quite helpful in rethinking the basic issues for the humanities are the writings from the disciplines other than physics, e.g.,</w:t>
      </w:r>
      <w:r>
        <w:t xml:space="preserve"> </w:t>
      </w:r>
      <w:r>
        <w:t xml:space="preserve">(Clarke, 1972)</w:t>
      </w:r>
      <w:r>
        <w:t xml:space="preserve"> </w:t>
      </w:r>
      <w:r>
        <w:t xml:space="preserve">on archaeology; on the social sciences, the essays by de Callatay, Mironesco, Burch, and Gardin in</w:t>
      </w:r>
      <w:r>
        <w:t xml:space="preserve"> </w:t>
      </w:r>
      <w:r>
        <w:t xml:space="preserve">(Franck, 2002)</w:t>
      </w:r>
      <w:r>
        <w:t xml:space="preserve">. For interdisciplinary studies see Shanin (1972) and</w:t>
      </w:r>
      <w:r>
        <w:t xml:space="preserve"> </w:t>
      </w:r>
      <w:r>
        <w:t xml:space="preserve">(Morgan &amp; Morrison, 1999)</w:t>
      </w:r>
      <w:r>
        <w:t xml:space="preserve">, esp. </w:t>
      </w:r>
      <w:r>
        <w:t xml:space="preserve">“</w:t>
      </w:r>
      <w:r>
        <w:t xml:space="preserve">Models as Mediating Instruments</w:t>
      </w:r>
      <w:r>
        <w:t xml:space="preserve">”</w:t>
      </w:r>
      <w:r>
        <w:t xml:space="preserve"> </w:t>
      </w:r>
      <w:r>
        <w:t xml:space="preserve">(pp. 10–37).</w:t>
      </w:r>
    </w:p>
  </w:footnote>
  <w:footnote w:id="23">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4">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w:t>
      </w:r>
      <w:r>
        <w:t xml:space="preserve">.</w:t>
      </w:r>
      <w:r>
        <w:t xml:space="preserve"> </w:t>
      </w:r>
      <w:r>
        <w:t xml:space="preserve">More serious criticism is leveled by Terry Winograd</w:t>
      </w:r>
      <w:r>
        <w:t xml:space="preserve"> </w:t>
      </w:r>
      <w:r>
        <w:t xml:space="preserve">(1991, pp. 207–208)</w:t>
      </w:r>
      <w:r>
        <w:t xml:space="preserve">; see below.</w:t>
      </w:r>
    </w:p>
  </w:footnote>
  <w:footnote w:id="27">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p. 48)</w:t>
      </w:r>
      <w:r>
        <w:t xml:space="preserve">; see also</w:t>
      </w:r>
      <w:r>
        <w:t xml:space="preserve"> </w:t>
      </w:r>
      <w:r>
        <w:t xml:space="preserve">(Dening, 1996, pp. 35–63)</w:t>
      </w:r>
      <w:r>
        <w:t xml:space="preserve">.</w:t>
      </w:r>
    </w:p>
  </w:footnote>
  <w:footnote w:id="29">
    <w:p>
      <w:pPr>
        <w:pStyle w:val="FootnoteText"/>
      </w:pPr>
      <w:r>
        <w:rPr>
          <w:rStyle w:val="FootnoteReference"/>
        </w:rPr>
        <w:footnoteRef/>
      </w:r>
      <w:r>
        <w:t xml:space="preserve"> </w:t>
      </w:r>
      <w:r>
        <w:t xml:space="preserve">For the concept in imaginative language and thought see Gibbs</w:t>
      </w:r>
      <w:r>
        <w:t xml:space="preserve"> </w:t>
      </w:r>
      <w:r>
        <w:t xml:space="preserve">(Gibbs, 1994)</w:t>
      </w:r>
      <w:r>
        <w:t xml:space="preserve">, reviewed by</w:t>
      </w:r>
      <w:r>
        <w:t xml:space="preserve"> </w:t>
      </w:r>
      <w:r>
        <w:t xml:space="preserve">(Turner, 1995)</w:t>
      </w:r>
      <w:r>
        <w:t xml:space="preserve">,</w:t>
      </w:r>
      <w:r>
        <w:t xml:space="preserve"> </w:t>
      </w:r>
      <w:r>
        <w:t xml:space="preserve">(Turner, 1998)</w:t>
      </w:r>
      <w:r>
        <w:t xml:space="preserve">; in computer science, Hoffman (1995) – whose summary of research is quite valuable; in cognitive science, including psychology,</w:t>
      </w:r>
      <w:r>
        <w:t xml:space="preserve"> </w:t>
      </w:r>
      <w:r>
        <w:t xml:space="preserve">(Mitchell, 1993)</w:t>
      </w:r>
      <w:r>
        <w:t xml:space="preserve">,</w:t>
      </w:r>
      <w:r>
        <w:t xml:space="preserve"> </w:t>
      </w:r>
      <w:r>
        <w:t xml:space="preserve">(Holyoak &amp; Thagard, 1997)</w:t>
      </w:r>
      <w:r>
        <w:t xml:space="preserve">; in the philosophy of science,</w:t>
      </w:r>
      <w:r>
        <w:t xml:space="preserve"> </w:t>
      </w:r>
      <w:r>
        <w:t xml:space="preserve">(Achinstein, 1968)</w:t>
      </w:r>
      <w:r>
        <w:t xml:space="preserve">,</w:t>
      </w:r>
      <w:r>
        <w:t xml:space="preserve"> </w:t>
      </w:r>
      <w:r>
        <w:t xml:space="preserve">(Leatherdale, 1974)</w:t>
      </w:r>
      <w:r>
        <w:t xml:space="preserve">,</w:t>
      </w:r>
      <w:r>
        <w:t xml:space="preserve"> </w:t>
      </w:r>
      <w:r>
        <w:t xml:space="preserve">(Gentner, 2002)</w:t>
      </w:r>
      <w:r>
        <w:t xml:space="preserve">,</w:t>
      </w:r>
      <w:r>
        <w:t xml:space="preserve"> </w:t>
      </w:r>
      <w:r>
        <w:t xml:space="preserve">(Shelley, 2002)</w:t>
      </w:r>
      <w:r>
        <w:t xml:space="preserve">; in relation to modeling,</w:t>
      </w:r>
      <w:r>
        <w:t xml:space="preserve"> </w:t>
      </w:r>
      <w:r>
        <w:t xml:space="preserve">(Bailer-Jones, 1999)</w:t>
      </w:r>
      <w:r>
        <w:t xml:space="preserve">, BailerJones and BailerJones</w:t>
      </w:r>
      <w:r>
        <w:t xml:space="preserve"> </w:t>
      </w:r>
      <w:r>
        <w:t xml:space="preserve">(2002). I do not deal here with metaphor in relation to modeling, for which see</w:t>
      </w:r>
      <w:r>
        <w:t xml:space="preserve"> </w:t>
      </w:r>
      <w:r>
        <w:t xml:space="preserve">(Black, 1979)</w:t>
      </w:r>
      <w:r>
        <w:t xml:space="preserve">,</w:t>
      </w:r>
      <w:r>
        <w:t xml:space="preserve"> </w:t>
      </w:r>
      <w:r>
        <w:t xml:space="preserve">(Johnson, 2002)</w:t>
      </w:r>
      <w:r>
        <w:t xml:space="preserve">.</w:t>
      </w:r>
    </w:p>
  </w:footnote>
  <w:footnote w:id="31">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w:t>
      </w:r>
      <w:r>
        <w:t xml:space="preserve"> </w:t>
      </w:r>
      <w:r>
        <w:t xml:space="preserve">(Elgin, 1998)</w:t>
      </w:r>
      <w:r>
        <w:t xml:space="preserve">,</w:t>
      </w:r>
      <w:r>
        <w:t xml:space="preserve"> </w:t>
      </w:r>
      <w:r>
        <w:t xml:space="preserve">(Hopkins, 2000)</w:t>
      </w:r>
      <w:r>
        <w:t xml:space="preserve">.</w:t>
      </w:r>
    </w:p>
  </w:footnote>
  <w:footnote w:id="32">
    <w:p>
      <w:pPr>
        <w:pStyle w:val="FootnoteText"/>
      </w:pPr>
      <w:r>
        <w:rPr>
          <w:rStyle w:val="FootnoteReference"/>
        </w:rPr>
        <w:footnoteRef/>
      </w:r>
      <w:r>
        <w:t xml:space="preserve"> </w:t>
      </w:r>
      <w:r>
        <w:t xml:space="preserve">Possibly the best and least problematic view is afforded by</w:t>
      </w:r>
      <w:r>
        <w:t xml:space="preserve"> </w:t>
      </w:r>
      <w:r>
        <w:t xml:space="preserve">Davis, Shrobe, &amp; Szolovits (1993)</w:t>
      </w:r>
      <w:r>
        <w:t xml:space="preserve">; see also</w:t>
      </w:r>
      <w:r>
        <w:t xml:space="preserve"> </w:t>
      </w:r>
      <w:r>
        <w:t xml:space="preserve">Sowa (2000)</w:t>
      </w:r>
      <w:r>
        <w:t xml:space="preserve">;</w:t>
      </w:r>
      <w:r>
        <w:t xml:space="preserve"> </w:t>
      </w:r>
      <w:r>
        <w:t xml:space="preserve">(Barr &amp; Feigenbaum, 1981)</w:t>
      </w:r>
      <w:r>
        <w:t xml:space="preserve">.</w:t>
      </w:r>
      <w:r>
        <w:t xml:space="preserve"> </w:t>
      </w:r>
      <w:r>
        <w:t xml:space="preserve">(Lenat, 1998)</w:t>
      </w:r>
      <w:r>
        <w:t xml:space="preserve"> </w:t>
      </w:r>
      <w:r>
        <w:t xml:space="preserve">illustrates the problematic tendencies in this field;</w:t>
      </w:r>
      <w:r>
        <w:t xml:space="preserve"> </w:t>
      </w:r>
      <w:r>
        <w:t xml:space="preserve">(Winograd, 1991)</w:t>
      </w:r>
      <w:r>
        <w:t xml:space="preserve"> </w:t>
      </w:r>
      <w:r>
        <w:t xml:space="preserve">and</w:t>
      </w:r>
      <w:r>
        <w:t xml:space="preserve"> </w:t>
      </w:r>
      <w:r>
        <w:t xml:space="preserve">(Dreyfus, 1981)</w:t>
      </w:r>
      <w:r>
        <w:t xml:space="preserve"> </w:t>
      </w:r>
      <w:r>
        <w:t xml:space="preserve">provide the antidote.</w:t>
      </w:r>
    </w:p>
  </w:footnote>
  <w:footnote w:id="33">
    <w:p>
      <w:pPr>
        <w:pStyle w:val="FootnoteText"/>
      </w:pPr>
      <w:r>
        <w:rPr>
          <w:rStyle w:val="FootnoteReference"/>
        </w:rPr>
        <w:footnoteRef/>
      </w:r>
      <w:r>
        <w:t xml:space="preserve"> </w:t>
      </w:r>
      <w:r>
        <w:t xml:space="preserve">(Frye, 1991, p. 4)</w:t>
      </w:r>
      <w:r>
        <w:t xml:space="preserve">,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w:t>
      </w:r>
      <w:r>
        <w:t xml:space="preserve"> </w:t>
      </w:r>
      <w:r>
        <w:t xml:space="preserve">the ambitious claim; see also</w:t>
      </w:r>
      <w:r>
        <w:t xml:space="preserve"> </w:t>
      </w:r>
      <w:r>
        <w:t xml:space="preserve">(Winder, 1996)</w:t>
      </w:r>
      <w:r>
        <w:t xml:space="preserve">.</w:t>
      </w:r>
    </w:p>
  </w:footnote>
  <w:footnote w:id="34">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w:t>
      </w:r>
      <w:r>
        <w:rPr>
          <w:i/>
        </w:rPr>
        <w:t xml:space="preserve">Cycorp Company Overview</w:t>
      </w:r>
      <w:r>
        <w:t xml:space="preserve">, at</w:t>
      </w:r>
      <w:r>
        <w:t xml:space="preserve"> </w:t>
      </w:r>
      <w:hyperlink r:id="rId35"/>
      <w:r>
        <w:t xml:space="preserve">, accessed September 22, 2003.</w:t>
      </w:r>
    </w:p>
  </w:footnote>
  <w:footnote w:id="36">
    <w:p>
      <w:pPr>
        <w:pStyle w:val="FootnoteText"/>
      </w:pPr>
      <w:r>
        <w:rPr>
          <w:rStyle w:val="FootnoteReference"/>
        </w:rPr>
        <w:footnoteRef/>
      </w:r>
      <w:r>
        <w:t xml:space="preserve"> </w:t>
      </w:r>
      <w:r>
        <w:t xml:space="preserve">(Winograd &amp; Flores, 1987)</w:t>
      </w:r>
      <w:r>
        <w:t xml:space="preserve">;</w:t>
      </w:r>
      <w:r>
        <w:t xml:space="preserve"> </w:t>
      </w:r>
      <w:r>
        <w:t xml:space="preserve">(Dreyfus, 1981)</w:t>
      </w:r>
      <w:r>
        <w:t xml:space="preserve">. See also</w:t>
      </w:r>
      <w:r>
        <w:t xml:space="preserve"> </w:t>
      </w:r>
      <w:r>
        <w:t xml:space="preserve">(Brooks, 1991)</w:t>
      </w:r>
      <w:r>
        <w:t xml:space="preserve">.</w:t>
      </w:r>
    </w:p>
  </w:footnote>
  <w:footnote w:id="38">
    <w:p>
      <w:pPr>
        <w:pStyle w:val="FootnoteText"/>
      </w:pPr>
      <w:r>
        <w:rPr>
          <w:rStyle w:val="FootnoteReference"/>
        </w:rPr>
        <w:footnoteRef/>
      </w:r>
      <w:r>
        <w:t xml:space="preserve"> </w:t>
      </w:r>
      <w:r>
        <w:t xml:space="preserve">See, however, the discussion in</w:t>
      </w:r>
      <w:r>
        <w:t xml:space="preserve"> </w:t>
      </w:r>
      <w:r>
        <w:t xml:space="preserve">(Netz, 2003, pp. 35–38)</w:t>
      </w:r>
      <w:r>
        <w:t xml:space="preserve">.</w:t>
      </w:r>
    </w:p>
  </w:footnote>
  <w:footnote w:id="39">
    <w:p>
      <w:pPr>
        <w:pStyle w:val="FootnoteText"/>
      </w:pPr>
      <w:r>
        <w:rPr>
          <w:rStyle w:val="FootnoteReference"/>
        </w:rPr>
        <w:footnoteRef/>
      </w:r>
      <w:r>
        <w:t xml:space="preserve"> </w:t>
      </w:r>
      <w:r>
        <w:t xml:space="preserve">(Goodman, 1976, p. 170f)</w:t>
      </w:r>
      <w:r>
        <w:t xml:space="preserve">, who distinguishes between analogue and digital diagrams. As Netz explains, the lettered diagram provides a good example of the latter (1999: 34f).</w:t>
      </w:r>
    </w:p>
  </w:footnote>
  <w:footnote w:id="40">
    <w:p>
      <w:pPr>
        <w:pStyle w:val="FootnoteText"/>
      </w:pPr>
      <w:r>
        <w:rPr>
          <w:rStyle w:val="FootnoteReference"/>
        </w:rPr>
        <w:footnoteRef/>
      </w:r>
      <w:r>
        <w:t xml:space="preserve"> </w:t>
      </w:r>
      <w:r>
        <w:t xml:space="preserve">(Shin, Lemon, &amp; Mumma, 2018)</w:t>
      </w:r>
      <w:r>
        <w:t xml:space="preserve">; note the extensive bibliography.</w:t>
      </w:r>
    </w:p>
  </w:footnote>
  <w:footnote w:id="42">
    <w:p>
      <w:pPr>
        <w:pStyle w:val="FootnoteText"/>
      </w:pPr>
      <w:r>
        <w:rPr>
          <w:rStyle w:val="FootnoteReference"/>
        </w:rPr>
        <w:footnoteRef/>
      </w:r>
      <w:r>
        <w:t xml:space="preserve"> </w:t>
      </w:r>
      <w:r>
        <w:t xml:space="preserve">(Robinson &amp; Petchenik, 1976)</w:t>
      </w:r>
      <w:r>
        <w:t xml:space="preserve">; see also</w:t>
      </w:r>
      <w:r>
        <w:t xml:space="preserve"> </w:t>
      </w:r>
      <w:r>
        <w:t xml:space="preserve">(Monmonier, 1996)</w:t>
      </w:r>
      <w:r>
        <w:t xml:space="preserve">;</w:t>
      </w:r>
      <w:r>
        <w:t xml:space="preserve"> </w:t>
      </w:r>
      <w:r>
        <w:t xml:space="preserve">(Wood, 1992)</w:t>
      </w:r>
      <w:r>
        <w:t xml:space="preserve">.</w:t>
      </w:r>
      <w:r>
        <w:t xml:space="preserve"> </w:t>
      </w:r>
      <w:r>
        <w:t xml:space="preserve">(Turnbull, 1994)</w:t>
      </w:r>
      <w:r>
        <w:t xml:space="preserve"> </w:t>
      </w:r>
      <w:r>
        <w:t xml:space="preserve">argues specifically for the link between maps and theories.</w:t>
      </w:r>
    </w:p>
  </w:footnote>
  <w:footnote w:id="43">
    <w:p>
      <w:pPr>
        <w:pStyle w:val="FootnoteText"/>
      </w:pPr>
      <w:r>
        <w:rPr>
          <w:rStyle w:val="FootnoteReference"/>
        </w:rPr>
        <w:footnoteRef/>
      </w:r>
      <w:r>
        <w:t xml:space="preserve"> </w:t>
      </w:r>
      <w:r>
        <w:t xml:space="preserve">See</w:t>
      </w:r>
      <w:r>
        <w:t xml:space="preserve"> </w:t>
      </w:r>
      <w:r>
        <w:t xml:space="preserve">(Bateson &amp; Montuori, 2002, pp. 27–28)</w:t>
      </w:r>
      <w:r>
        <w:t xml:space="preserve">, who cites Alfred Korzybski’s principle that</w:t>
      </w:r>
      <w:r>
        <w:t xml:space="preserve"> </w:t>
      </w:r>
      <w:r>
        <w:t xml:space="preserve">“</w:t>
      </w:r>
      <w:r>
        <w:t xml:space="preserve">the map is not the territory</w:t>
      </w:r>
      <w:r>
        <w:t xml:space="preserve">”</w:t>
      </w:r>
      <w:r>
        <w:t xml:space="preserve"> </w:t>
      </w:r>
      <w:r>
        <w:t xml:space="preserve">(Korzybski, 1995)</w:t>
      </w:r>
      <w:r>
        <w:t xml:space="preserve"> </w:t>
      </w:r>
      <w:r>
        <w:t xml:space="preserve">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w:t>
      </w:r>
      <w:r>
        <w:t xml:space="preserve"> </w:t>
      </w:r>
      <w:r>
        <w:t xml:space="preserve">(Goodman, 1972, p. 15)</w:t>
      </w:r>
      <w:r>
        <w:t xml:space="preserve">;</w:t>
      </w:r>
      <w:r>
        <w:t xml:space="preserve"> </w:t>
      </w:r>
      <w:r>
        <w:t xml:space="preserve">(Kent, 2000, xix)</w:t>
      </w:r>
      <w:r>
        <w:t xml:space="preserve">.</w:t>
      </w:r>
    </w:p>
  </w:footnote>
  <w:footnote w:id="45">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w:t>
      </w:r>
      <w:r>
        <w:t xml:space="preserve"> </w:t>
      </w:r>
      <w:r>
        <w:t xml:space="preserve">(Guala, 2002)</w:t>
      </w:r>
      <w:r>
        <w:t xml:space="preserve">, who also stresses the necessity of including the designer or initiator as part of the simulation.</w:t>
      </w:r>
    </w:p>
  </w:footnote>
  <w:footnote w:id="46">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w:t>
      </w:r>
      <w:r>
        <w:rPr>
          <w:i/>
        </w:rPr>
        <w:t xml:space="preserve">OED</w:t>
      </w:r>
      <w:r>
        <w:t xml:space="preserve"> </w:t>
      </w:r>
      <w:r>
        <w:t xml:space="preserve">1 .a., 2) – an animated</w:t>
      </w:r>
      <w:r>
        <w:t xml:space="preserve"> </w:t>
      </w:r>
      <w:r>
        <w:rPr>
          <w:i/>
        </w:rPr>
        <w:t xml:space="preserve">trompe l’oeil</w:t>
      </w:r>
      <w:r>
        <w:t xml:space="preserve">.</w:t>
      </w:r>
    </w:p>
  </w:footnote>
  <w:footnote w:id="47">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w:t>
      </w:r>
      <w:r>
        <w:t xml:space="preserve"> </w:t>
      </w:r>
      <w:r>
        <w:t xml:space="preserve">(Markman &amp; Dietrich, 2000)</w:t>
      </w:r>
      <w:r>
        <w:t xml:space="preserve">; Davis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footnote>
  <w:footnote w:id="48">
    <w:p>
      <w:pPr>
        <w:pStyle w:val="FootnoteText"/>
      </w:pPr>
      <w:r>
        <w:rPr>
          <w:rStyle w:val="FootnoteReference"/>
        </w:rPr>
        <w:footnoteRef/>
      </w:r>
      <w:r>
        <w:t xml:space="preserve"> </w:t>
      </w:r>
      <w:r>
        <w:t xml:space="preserve">(Rowe, 1998)</w:t>
      </w:r>
      <w:r>
        <w:t xml:space="preserve">, quoted by</w:t>
      </w:r>
      <w:r>
        <w:t xml:space="preserve"> </w:t>
      </w:r>
      <w:r>
        <w:t xml:space="preserve">(Burch, 2002, p. 245)</w:t>
      </w:r>
      <w:r>
        <w:t xml:space="preserve">; see also</w:t>
      </w:r>
      <w:r>
        <w:t xml:space="preserve"> </w:t>
      </w:r>
      <w:r>
        <w:t xml:space="preserve">(Winsberg, 2001)</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cyc.com/overview.html" TargetMode="External" /><Relationship Type="http://schemas.openxmlformats.org/officeDocument/2006/relationships/hyperlink" Id="rId105" Target="https://doi.org/10.1007/978-1-4020-4676-6_10" TargetMode="External" /><Relationship Type="http://schemas.openxmlformats.org/officeDocument/2006/relationships/hyperlink" Id="rId59" Target="https://doi.org/10.1007/978-1-4020-4676-6_12" TargetMode="External" /><Relationship Type="http://schemas.openxmlformats.org/officeDocument/2006/relationships/hyperlink" Id="rId90" Target="https://doi.org/10.1007/978-1-4615-0605-8_1" TargetMode="External" /><Relationship Type="http://schemas.openxmlformats.org/officeDocument/2006/relationships/hyperlink" Id="rId77" Target="https://doi.org/10.1007/978-1-4615-0605-8_2" TargetMode="External" /><Relationship Type="http://schemas.openxmlformats.org/officeDocument/2006/relationships/hyperlink" Id="rId82" Target="https://doi.org/10.1007/978-1-4615-0605-8_4" TargetMode="External" /><Relationship Type="http://schemas.openxmlformats.org/officeDocument/2006/relationships/hyperlink" Id="rId57" Target="https://doi.org/10.1016/0004-3702(91)90053-M" TargetMode="External" /><Relationship Type="http://schemas.openxmlformats.org/officeDocument/2006/relationships/hyperlink" Id="rId55" Target="https://doi.org/10.1017/CBO9781139173865.004" TargetMode="External" /><Relationship Type="http://schemas.openxmlformats.org/officeDocument/2006/relationships/hyperlink" Id="rId98" Target="https://doi.org/10.1145/951656.951657" TargetMode="External" /><Relationship Type="http://schemas.openxmlformats.org/officeDocument/2006/relationships/hyperlink" Id="rId63" Target="https://doi.org/10.1609/aimag.v14i1.1029" TargetMode="External" /><Relationship Type="http://schemas.openxmlformats.org/officeDocument/2006/relationships/hyperlink" Id="rId85" Target="https://doi.org/10.1609/aimag.v16i3.1145" TargetMode="External" /><Relationship Type="http://schemas.openxmlformats.org/officeDocument/2006/relationships/hyperlink" Id="rId88" Target="https://doi.org/10.4324/9780415249126-M017-1" TargetMode="External" /><Relationship Type="http://schemas.openxmlformats.org/officeDocument/2006/relationships/hyperlink" Id="rId68" Target="https://doi.org/10.4324/9780415249126-M045-1" TargetMode="External" /><Relationship Type="http://schemas.openxmlformats.org/officeDocument/2006/relationships/hyperlink" Id="rId70" Target="https://doi.org/10.5840/monist19998211" TargetMode="External" /><Relationship Type="http://schemas.openxmlformats.org/officeDocument/2006/relationships/hyperlink" Id="rId115" Target="https://plato.stanford.edu/archives/win2018/entries/diagrams/" TargetMode="External" /><Relationship Type="http://schemas.openxmlformats.org/officeDocument/2006/relationships/hyperlink" Id="rId102" Target="https://www.academia.edu/30973245/A_Network_with_a_Thousand_Entrances_Commentary_in_an_Electronic_Age_2002_" TargetMode="External" /><Relationship Type="http://schemas.openxmlformats.org/officeDocument/2006/relationships/hyperlink" Id="rId100" Target="https://www.academia.edu/6542248/Extending_the_classical_view_of_representation" TargetMode="External" /><Relationship Type="http://schemas.openxmlformats.org/officeDocument/2006/relationships/hyperlink" Id="rId113" Target="https://www.jstor.org/stable/3541820" TargetMode="External" /><Relationship Type="http://schemas.openxmlformats.org/officeDocument/2006/relationships/hyperlink" Id="rId52" Target="https://www.researchgate.net/publication/235126495_Representation_of_Knowledge" TargetMode="External" /><Relationship Type="http://schemas.openxmlformats.org/officeDocument/2006/relationships/hyperlink" Id="rId73" Target="https://www.springer.com/de/book/9781402008672" TargetMode="External" /></Relationships>
</file>

<file path=word/_rels/footnotes.xml.rels><?xml version="1.0" encoding="UTF-8"?>
<Relationships xmlns="http://schemas.openxmlformats.org/package/2006/relationships"><Relationship Type="http://schemas.openxmlformats.org/officeDocument/2006/relationships/hyperlink" Id="rId35" Target="http://www.cyc.com/overview.html" TargetMode="External" /><Relationship Type="http://schemas.openxmlformats.org/officeDocument/2006/relationships/hyperlink" Id="rId105" Target="https://doi.org/10.1007/978-1-4020-4676-6_10" TargetMode="External" /><Relationship Type="http://schemas.openxmlformats.org/officeDocument/2006/relationships/hyperlink" Id="rId59" Target="https://doi.org/10.1007/978-1-4020-4676-6_12" TargetMode="External" /><Relationship Type="http://schemas.openxmlformats.org/officeDocument/2006/relationships/hyperlink" Id="rId90" Target="https://doi.org/10.1007/978-1-4615-0605-8_1" TargetMode="External" /><Relationship Type="http://schemas.openxmlformats.org/officeDocument/2006/relationships/hyperlink" Id="rId77" Target="https://doi.org/10.1007/978-1-4615-0605-8_2" TargetMode="External" /><Relationship Type="http://schemas.openxmlformats.org/officeDocument/2006/relationships/hyperlink" Id="rId82" Target="https://doi.org/10.1007/978-1-4615-0605-8_4" TargetMode="External" /><Relationship Type="http://schemas.openxmlformats.org/officeDocument/2006/relationships/hyperlink" Id="rId57" Target="https://doi.org/10.1016/0004-3702(91)90053-M" TargetMode="External" /><Relationship Type="http://schemas.openxmlformats.org/officeDocument/2006/relationships/hyperlink" Id="rId55" Target="https://doi.org/10.1017/CBO9781139173865.004" TargetMode="External" /><Relationship Type="http://schemas.openxmlformats.org/officeDocument/2006/relationships/hyperlink" Id="rId98" Target="https://doi.org/10.1145/951656.951657" TargetMode="External" /><Relationship Type="http://schemas.openxmlformats.org/officeDocument/2006/relationships/hyperlink" Id="rId63" Target="https://doi.org/10.1609/aimag.v14i1.1029" TargetMode="External" /><Relationship Type="http://schemas.openxmlformats.org/officeDocument/2006/relationships/hyperlink" Id="rId85" Target="https://doi.org/10.1609/aimag.v16i3.1145" TargetMode="External" /><Relationship Type="http://schemas.openxmlformats.org/officeDocument/2006/relationships/hyperlink" Id="rId88" Target="https://doi.org/10.4324/9780415249126-M017-1" TargetMode="External" /><Relationship Type="http://schemas.openxmlformats.org/officeDocument/2006/relationships/hyperlink" Id="rId68" Target="https://doi.org/10.4324/9780415249126-M045-1" TargetMode="External" /><Relationship Type="http://schemas.openxmlformats.org/officeDocument/2006/relationships/hyperlink" Id="rId70" Target="https://doi.org/10.5840/monist19998211" TargetMode="External" /><Relationship Type="http://schemas.openxmlformats.org/officeDocument/2006/relationships/hyperlink" Id="rId115" Target="https://plato.stanford.edu/archives/win2018/entries/diagrams/" TargetMode="External" /><Relationship Type="http://schemas.openxmlformats.org/officeDocument/2006/relationships/hyperlink" Id="rId102" Target="https://www.academia.edu/30973245/A_Network_with_a_Thousand_Entrances_Commentary_in_an_Electronic_Age_2002_" TargetMode="External" /><Relationship Type="http://schemas.openxmlformats.org/officeDocument/2006/relationships/hyperlink" Id="rId100" Target="https://www.academia.edu/6542248/Extending_the_classical_view_of_representation" TargetMode="External" /><Relationship Type="http://schemas.openxmlformats.org/officeDocument/2006/relationships/hyperlink" Id="rId113" Target="https://www.jstor.org/stable/3541820" TargetMode="External" /><Relationship Type="http://schemas.openxmlformats.org/officeDocument/2006/relationships/hyperlink" Id="rId52" Target="https://www.researchgate.net/publication/235126495_Representation_of_Knowledge" TargetMode="External" /><Relationship Type="http://schemas.openxmlformats.org/officeDocument/2006/relationships/hyperlink" Id="rId73" Target="https://www.springer.com/de/book/9781402008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 by Willard McCarty</dc:title>
  <dc:creator/>
  <cp:keywords/>
  <dcterms:created xsi:type="dcterms:W3CDTF">2019-07-01T07:44:56Z</dcterms:created>
  <dcterms:modified xsi:type="dcterms:W3CDTF">2019-07-01T07:44:56Z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mccarty.bib</vt:lpwstr>
  </property>
  <property fmtid="{D5CDD505-2E9C-101B-9397-08002B2CF9AE}" pid="3" name="csl">
    <vt:lpwstr>apa.csl</vt:lpwstr>
  </property>
  <property fmtid="{D5CDD505-2E9C-101B-9397-08002B2CF9AE}" pid="4" name="date">
    <vt:lpwstr/>
  </property>
  <property fmtid="{D5CDD505-2E9C-101B-9397-08002B2CF9AE}" pid="5" name="subtitle">
    <vt:lpwstr/>
  </property>
</Properties>
</file>