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1"/>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1"/>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1"/>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COMMAND_TIMEOUT 또는 QUERY_TIMEOUT이면 다음 점검 주기에 다음 읽기 전용 후보를 한 번 시도합니다.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0.11.9-poc는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journal은 원자적으로 교체하며 교체가 완료된 뒤 임시 파일 정리만 실패해도 저장 완료를 실패로 되돌리지 않습니다. 새 ProgramData 제품 루트는 원자적 생성에 성공한 경우에만 ACL과 파일을 쓰므로 검사 직후 다른 프로세스가 만든 폴더는 수정하지 않습니다.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활성화가 잠시 막힌 경우  </w:t>
      </w:r>
      <w:r>
        <w:rPr>
          <w:rFonts w:ascii="맑은 고딕" w:hAnsi="맑은 고딕" w:eastAsia="맑은 고딕" w:cs="맑은 고딕"/>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핵심 실패와 부가 설정 경고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SETUP_SERVICE_CAPTURE_FAILED로 중단합니다. 기존 서비스의 실행 경로·시작 유형·계정 계약 불일치는 SETUP_SERVICE_CONTRACT_FAILED, 기존 서비스 중지는 SETUP_SERVICE_STOP_FAILED, 실행 경로·자동 시작·가상 계정 같은 핵심 구성은 SETUP_SERVICE_CONFIG_FAILED, 실제 시작은 SETUP_SERVICE_START_FAILED로 구분합니다. 이 단계들은 Agent 구동에 필요하므로 실패하면 fail-closed로 중단합니다. 서비스 설명, 자동 복구 정책 또는 제한 DACL 적용만 실패하면 SETUP_SERVICE_DESCRIPTION_WARNING, SETUP_SERVICE_RECOVERY_POLICY_WARNING 또는 SETUP_SERVICE_DACL_WARNING을 남기고 계속합니다. 이 경우에도 핵심 구성과 Running 상태는 반드시 확인합니다. START_PENDING은 중복 시작 없이 기다리고, STOP_PENDING은 중지가 끝난 뒤 한 번만 시작합니다. 시스템 시각 변경의 영향을 받지 않는 제한 시간 안에 완료되지 않으면 SETUP_SERVICE_START_FAILED로 중단합니다.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1"/>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1"/>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1"/>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0.11.9-poc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0.11.9-poc는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4" name="Picture 4"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5" name="Picture 5"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6" name="Picture 6" title="장비 관리 창" descr="장비명, IPv4, 계정 ID와 비밀번호를 입력하고 자동 판별된 모델과 감시 설정을 확인하는 창"/>
            <wp:cNvGraphicFramePr>
              <a:graphicFrameLocks noChangeAspect="1"/>
            </wp:cNvGraphicFramePr>
            <a:graphic>
              <a:graphicData uri="http://schemas.openxmlformats.org/drawingml/2006/picture">
                <pic:pic>
                  <pic:nvPicPr>
                    <pic:cNvPr id="0" name="03-device-management.png"/>
                    <pic:cNvPicPr/>
                  </pic:nvPicPr>
                  <pic:blipFill>
                    <a:blip r:embed="rId18"/>
                    <a:stretch>
                      <a:fillRect/>
                    </a:stretch>
                  </pic:blipFill>
                  <pic:spPr>
                    <a:xfrm>
                      <a:off x="0" y="0"/>
                      <a:ext cx="5029200" cy="3540967"/>
                    </a:xfrm>
                    <a:prstGeom prst="rect"/>
                  </pic:spPr>
                </pic:pic>
              </a:graphicData>
            </a:graphic>
          </wp:inline>
        </w:drawing>
      </w:r>
    </w:p>
    <w:p>
      <w:pPr>
        <w:pStyle w:val="Caption"/>
      </w:pPr>
      <w:r>
        <w:t>그림 6. Viewer가 보관하는 장비 및 계정 입력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중복 실행과 창 닫기  </w:t>
      </w:r>
      <w:r>
        <w:rPr>
          <w:rFonts w:ascii="맑은 고딕" w:hAnsi="맑은 고딕" w:eastAsia="맑은 고딕" w:cs="맑은 고딕"/>
          <w:color w:val="16324F"/>
          <w:sz w:val="21"/>
        </w:rPr>
        <w:t>포트 상태/시스템 로그 수동 점검과 직접 입력한 읽기 전용 명령은 동시에 하나만 실행됩니다. 하나가 실행 중이면 다른 실행 버튼은 잠시 비활성화되며 뒤에서 다시 실행되지 않습니다. 장비 관리 창을 닫으면 진행 중인 연결을 취소하고 화면의 로그인 PW와 enable PW를 즉시 지웁니다.</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 (자동)</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자동</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확인에서 IES4224GP, IES4028XP, IES4226XP 중 판별</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1"/>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1"/>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새 장비는 로그인과 모델 자동 판별이 성공한 뒤 저장할 수 있습니다. 기존 장비의 재확인이 실패하면 기존 모델은 유지되지만 주기 감시는 강제로 꺼집니다. 주소가 사설 대역인지, ID/PW와 enable 필요 여부를 바로잡은 뒤 다시 확인하세요. MODEL_NOT_DETECTED 또는 MODEL_AMBIGUOUS이면 실제 show version과 지원 범위를 확인하고, MODEL_DETECTION_UNAVAILABLE이면 Agent와 Viewer를 같은 최신 버전으로 맞추세요.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7" name="Picture 7"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9"/>
                    <a:stretch>
                      <a:fillRect/>
                    </a:stretch>
                  </pic:blipFill>
                  <pic:spPr>
                    <a:xfrm>
                      <a:off x="0" y="0"/>
                      <a:ext cx="3977639" cy="2486024"/>
                    </a:xfrm>
                    <a:prstGeom prst="rect"/>
                  </pic:spPr>
                </pic:pic>
              </a:graphicData>
            </a:graphic>
          </wp:inline>
        </w:drawing>
      </w:r>
    </w:p>
    <w:p>
      <w:pPr>
        <w:pStyle w:val="Caption"/>
      </w:pPr>
      <w:r>
        <w:t>그림 7.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1"/>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1"/>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1"/>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1"/>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8" name="Picture 8"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0"/>
                    <a:stretch>
                      <a:fillRect/>
                    </a:stretch>
                  </pic:blipFill>
                  <pic:spPr>
                    <a:xfrm>
                      <a:off x="0" y="0"/>
                      <a:ext cx="4754880" cy="2971800"/>
                    </a:xfrm>
                    <a:prstGeom prst="rect"/>
                  </pic:spPr>
                </pic:pic>
              </a:graphicData>
            </a:graphic>
          </wp:inline>
        </w:drawing>
      </w:r>
    </w:p>
    <w:p>
      <w:pPr>
        <w:pStyle w:val="Caption"/>
      </w:pPr>
      <w:r>
        <w:t>그림 8.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1"/>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1"/>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1"/>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9" name="Picture 9"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1"/>
                    <a:stretch>
                      <a:fillRect/>
                    </a:stretch>
                  </pic:blipFill>
                  <pic:spPr>
                    <a:xfrm>
                      <a:off x="0" y="0"/>
                      <a:ext cx="2971800" cy="1556656"/>
                    </a:xfrm>
                    <a:prstGeom prst="rect"/>
                  </pic:spPr>
                </pic:pic>
              </a:graphicData>
            </a:graphic>
          </wp:inline>
        </w:drawing>
      </w:r>
    </w:p>
    <w:p>
      <w:pPr>
        <w:pStyle w:val="Caption"/>
      </w:pPr>
      <w:r>
        <w:t>그림 9. 반복 운영용 미니 창</w:t>
      </w:r>
    </w:p>
    <w:p>
      <w:pPr>
        <w:keepNext/>
        <w:spacing w:before="80" w:after="0"/>
        <w:jc w:val="center"/>
      </w:pPr>
      <w:r>
        <w:drawing>
          <wp:inline xmlns:a="http://schemas.openxmlformats.org/drawingml/2006/main" xmlns:pic="http://schemas.openxmlformats.org/drawingml/2006/picture">
            <wp:extent cx="3154680" cy="1231827"/>
            <wp:docPr id="10" name="Picture 10"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2"/>
                    <a:stretch>
                      <a:fillRect/>
                    </a:stretch>
                  </pic:blipFill>
                  <pic:spPr>
                    <a:xfrm>
                      <a:off x="0" y="0"/>
                      <a:ext cx="3154680" cy="1231827"/>
                    </a:xfrm>
                    <a:prstGeom prst="rect"/>
                  </pic:spPr>
                </pic:pic>
              </a:graphicData>
            </a:graphic>
          </wp:inline>
        </w:drawing>
      </w:r>
    </w:p>
    <w:p>
      <w:pPr>
        <w:pStyle w:val="Caption"/>
      </w:pPr>
      <w:r>
        <w:t>그림 10.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1"/>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1"/>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1"/>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SETUP_SERVICE_CAPTURE_FAILED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전 서비스 상태 snapshot 조회 → Windows 서비스 관리 권한</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SETUP_SERVICE_CONTRACT_FAILED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설치·관리 작업이 같은 서비스를 변경했는지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 서비스 상태 → EDR의 프로세스 종료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SETUP_SERVICE_CONFIG_FAILED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SCM 권한 → 실행 경로·자동 시작·가상 서비스 계정 정책</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이벤트 → EDR 격리·실행 차단</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SETUP_SERVICE_DESCRIPTION_WARNING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설명만 실패한 경고 → 핵심 서비스 Running과 Viewer 연결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SETUP_SERVICE_RECOVERY_POLICY_WARNING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복구 정책만 실패한 경고 → 핵심 서비스 Running과 Viewer 연결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SETUP_SERVICE_DACL_WARNING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제한 DACL만 실패한 경고 → 핵심 서비스 Running과 사내 SCM 정책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구버전 호환 서비스 오류 → 새 버전으로 맞춘 뒤 Windows 서비스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SETUP_BACKUP_MOVE_FAILED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Agent→backup 이동이 5회 안에 끝나지 않음 → rollback 결과 확인 → 제품 폴더 수동 이동·삭제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SETUP_FILE_ACTIVATION_FAILED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staging→설치 위치 활성화가 5회 안에 끝나지 않음 → 이전 Agent 복원 또는 이전 상태 복구 결과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SETUP_BACKUP_ACCESS_WARNING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backup 관리자 전용 ACL 강화만 실패한 경고 → 설치 성공과 새 Agent 실행 확인 → backup 권한 임의 확대 금지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MODEL_NOT_DETECTED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show version에서 지원 모델을 찾지 못함. 장비 전면 모델명과 실제 출력·지원 범위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MODEL_AMBIGUOUS</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둘 이상의 지원 모델 토큰이 확인됨. 임의 선택 없이 실제 장비와 출력 형식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MODEL_DETECTION_UNAVAILABLE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구형 Agent 응답에 자동 판별값이 없음. Agent와 Viewer를 같은 최신 Release로 업데이트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bl>
    <w:p>
      <w:pPr>
        <w:spacing w:after="60"/>
      </w:pP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1"/>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1"/>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1"/>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이동 실패  </w:t>
      </w:r>
      <w:r>
        <w:rPr>
          <w:rFonts w:ascii="맑은 고딕" w:hAnsi="맑은 고딕" w:eastAsia="맑은 고딕" w:cs="맑은 고딕"/>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1"/>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1"/>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1"/>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v0.11.9-poc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v0.11.9-poc  |  2026-08-12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0.11.9-poc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