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고정 Viewer IPv4를 입력하고 자동 검색된 관리망을 선택합니다. 목록에 없으면 승인된 사설 관리망을 직접 추가해 합계 1~2개로 설치합니다.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0.10.5-poc는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고정 Viewer PC IPv4를 입력하고 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검사를 실행한 뒤 설치/업데이트를 누르고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고정 Viewer IPv4, 자동 검색 관리망, 정규화된 직접 추가 관리망을 확인하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Agent 서비스 설치와 자동·직접 추가 관리망 범위 확인</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실패하면 설치 전 상태로 자동 복구하고, 완전히 복구하지 못하면 SETUP_ROLLBACK_FAILED를 표시합니다.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 Viewer PC 주소 또는 localhost가 아니라 Agent를 설치한 PC 주소를 입력했는지 먼저 확인하세요. 그 다음 Agent Setup의 검사에서 SamsungSwitchWatchAgent 서비스와 TCP/18443을 점검합니다. AGENT_CLIENT_NOT_ALLOWED이면 현재 Viewer PC의 고정 IPv4를 Agent Setup에 다시 입력하고 설치/업데이트합니다. 서비스를 수동 등록하지 말고 0.10.5-poc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0.10.5-poc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0.10.5-poc는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194560" cy="1840599"/>
            <wp:docPr id="2" name="Picture 2"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4"/>
                    <a:stretch>
                      <a:fillRect/>
                    </a:stretch>
                  </pic:blipFill>
                  <pic:spPr>
                    <a:xfrm>
                      <a:off x="0" y="0"/>
                      <a:ext cx="2194560" cy="1840599"/>
                    </a:xfrm>
                    <a:prstGeom prst="rect"/>
                  </pic:spPr>
                </pic:pic>
              </a:graphicData>
            </a:graphic>
          </wp:inline>
        </w:drawing>
      </w:r>
    </w:p>
    <w:p>
      <w:pPr>
        <w:pStyle w:val="Caption"/>
      </w:pPr>
      <w:r>
        <w:t>그림 2. Agent 주소만 입력하는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 Viewer PC 주소와 localhost는 두 프로그램이 같은 PC가 아닌 한 입력하지 않습니다.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3" name="Picture 3"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5"/>
                    <a:stretch>
                      <a:fillRect/>
                    </a:stretch>
                  </pic:blipFill>
                  <pic:spPr>
                    <a:xfrm>
                      <a:off x="0" y="0"/>
                      <a:ext cx="5029200" cy="3540967"/>
                    </a:xfrm>
                    <a:prstGeom prst="rect"/>
                  </pic:spPr>
                </pic:pic>
              </a:graphicData>
            </a:graphic>
          </wp:inline>
        </w:drawing>
      </w:r>
    </w:p>
    <w:p>
      <w:pPr>
        <w:pStyle w:val="Caption"/>
      </w:pPr>
      <w:r>
        <w:t>그림 3.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4" name="Picture 4"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6"/>
                    <a:stretch>
                      <a:fillRect/>
                    </a:stretch>
                  </pic:blipFill>
                  <pic:spPr>
                    <a:xfrm>
                      <a:off x="0" y="0"/>
                      <a:ext cx="3977639" cy="2486024"/>
                    </a:xfrm>
                    <a:prstGeom prst="rect"/>
                  </pic:spPr>
                </pic:pic>
              </a:graphicData>
            </a:graphic>
          </wp:inline>
        </w:drawing>
      </w:r>
    </w:p>
    <w:p>
      <w:pPr>
        <w:pStyle w:val="Caption"/>
      </w:pPr>
      <w:r>
        <w:t>그림 4.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5" name="Picture 5"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7"/>
                    <a:stretch>
                      <a:fillRect/>
                    </a:stretch>
                  </pic:blipFill>
                  <pic:spPr>
                    <a:xfrm>
                      <a:off x="0" y="0"/>
                      <a:ext cx="4754880" cy="2971800"/>
                    </a:xfrm>
                    <a:prstGeom prst="rect"/>
                  </pic:spPr>
                </pic:pic>
              </a:graphicData>
            </a:graphic>
          </wp:inline>
        </w:drawing>
      </w:r>
    </w:p>
    <w:p>
      <w:pPr>
        <w:pStyle w:val="Caption"/>
      </w:pPr>
      <w:r>
        <w:t>그림 5.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6" name="Picture 6"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8"/>
                    <a:stretch>
                      <a:fillRect/>
                    </a:stretch>
                  </pic:blipFill>
                  <pic:spPr>
                    <a:xfrm>
                      <a:off x="0" y="0"/>
                      <a:ext cx="2971800" cy="1816099"/>
                    </a:xfrm>
                    <a:prstGeom prst="rect"/>
                  </pic:spPr>
                </pic:pic>
              </a:graphicData>
            </a:graphic>
          </wp:inline>
        </w:drawing>
      </w:r>
    </w:p>
    <w:p>
      <w:pPr>
        <w:pStyle w:val="Caption"/>
      </w:pPr>
      <w:r>
        <w:t>그림 6. 반복 운영용 미니 창</w:t>
      </w:r>
    </w:p>
    <w:p>
      <w:pPr>
        <w:keepNext/>
        <w:spacing w:before="80" w:after="0"/>
        <w:jc w:val="center"/>
      </w:pPr>
      <w:r>
        <w:drawing>
          <wp:inline xmlns:a="http://schemas.openxmlformats.org/drawingml/2006/main" xmlns:pic="http://schemas.openxmlformats.org/drawingml/2006/picture">
            <wp:extent cx="3154680" cy="1296924"/>
            <wp:docPr id="7" name="Picture 7"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9"/>
                    <a:stretch>
                      <a:fillRect/>
                    </a:stretch>
                  </pic:blipFill>
                  <pic:spPr>
                    <a:xfrm>
                      <a:off x="0" y="0"/>
                      <a:ext cx="3154680" cy="1296924"/>
                    </a:xfrm>
                    <a:prstGeom prst="rect"/>
                  </pic:spPr>
                </pic:pic>
              </a:graphicData>
            </a:graphic>
          </wp:inline>
        </w:drawing>
      </w:r>
    </w:p>
    <w:p>
      <w:pPr>
        <w:pStyle w:val="Caption"/>
      </w:pPr>
      <w:r>
        <w:t>그림 7.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실행 → 로컬 HTTPS/18443 → Agent 설정과 Windows 이벤트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재실행하지 말고 표시 단계와 보존된 백업을 Windows 관리자에게 전달</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자동 복구 실패 시  </w:t>
      </w:r>
      <w:r>
        <w:rPr>
          <w:rFonts w:ascii="맑은 고딕" w:hAnsi="맑은 고딕" w:eastAsia="맑은 고딕" w:cs="맑은 고딕"/>
          <w:color w:val="16324F"/>
          <w:sz w:val="21"/>
        </w:rPr>
        <w:t>설치 도중 실패하면 Setup이 이전 프로그램·서비스·방화벽 상태를 되돌립니다. SETUP_ROLLBACK_FAILED가 표시되면 남은 .__staging_, .__backup_, .__failed_ 폴더를 삭제·이동·이름 변경하지 말고 표시된 단계와 오류 코드를 사내 Windows 관리자에게 전달하세요.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주소만으로 HTTPS 연결되는지 확인</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v0.10.5-poc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v0.10.5-poc  |  2026-07-29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0.10.5-poc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