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0000"/>
          <w:sz w:val="20"/>
          <w:szCs w:val="20"/>
        </w:rPr>
        <w:t xml:space="preserve">Área Informática y Telecomunicaciones – Ingeniería en Informática</w:t>
      </w:r>
    </w:p>
    <w:p>
      <w:pPr>
        <w:spacing w:after="60" w:before="0"/>
      </w:pPr>
      <w:r>
        <w:rPr>
          <w:rFonts w:ascii="Arial" w:cs="Arial" w:eastAsia="Arial" w:hAnsi="Arial"/>
          <w:b/>
          <w:bCs/>
          <w:color w:val="000000"/>
          <w:sz w:val="20"/>
          <w:szCs w:val="20"/>
        </w:rPr>
        <w:t xml:space="preserve">Asignatura: </w:t>
      </w:r>
      <w:r>
        <w:rPr>
          <w:rFonts w:ascii="Arial" w:cs="Arial" w:eastAsia="Arial" w:hAnsi="Arial"/>
          <w:color w:val="000000"/>
          <w:sz w:val="20"/>
          <w:szCs w:val="20"/>
        </w:rPr>
        <w:t xml:space="preserve">Gestión de Proyecto – Sección IEI(1)-N7-C3</w:t>
      </w:r>
    </w:p>
    <w:p>
      <w:pPr>
        <w:spacing w:after="60" w:before="0"/>
      </w:pPr>
      <w:r>
        <w:rPr>
          <w:rFonts w:ascii="Arial" w:cs="Arial" w:eastAsia="Arial" w:hAnsi="Arial"/>
          <w:b/>
          <w:bCs/>
          <w:color w:val="000000"/>
          <w:sz w:val="20"/>
          <w:szCs w:val="20"/>
        </w:rPr>
        <w:t xml:space="preserve">Docente: </w:t>
      </w:r>
      <w:r>
        <w:rPr>
          <w:rFonts w:ascii="Arial" w:cs="Arial" w:eastAsia="Arial" w:hAnsi="Arial"/>
          <w:color w:val="000000"/>
          <w:sz w:val="20"/>
          <w:szCs w:val="20"/>
        </w:rPr>
        <w:t xml:space="preserve">Roberto Conejeros</w:t>
      </w:r>
    </w:p>
    <w:p>
      <w:pPr>
        <w:spacing w:after="60" w:before="0"/>
      </w:pPr>
      <w:r>
        <w:rPr>
          <w:rFonts w:ascii="Arial" w:cs="Arial" w:eastAsia="Arial" w:hAnsi="Arial"/>
          <w:b/>
          <w:bCs/>
          <w:color w:val="000000"/>
          <w:sz w:val="20"/>
          <w:szCs w:val="20"/>
        </w:rPr>
        <w:t xml:space="preserve">Integrantes: </w:t>
      </w:r>
      <w:r>
        <w:rPr>
          <w:rFonts w:ascii="Arial" w:cs="Arial" w:eastAsia="Arial" w:hAnsi="Arial"/>
          <w:color w:val="000000"/>
          <w:sz w:val="20"/>
          <w:szCs w:val="20"/>
        </w:rPr>
        <w:t xml:space="preserve">Sebastián Bravo – Luis Loyola – Ángel Rubilar</w:t>
      </w:r>
    </w:p>
    <w:p>
      <w:pPr>
        <w:spacing w:after="60" w:before="0"/>
      </w:pPr>
      <w:r>
        <w:rPr>
          <w:rFonts w:ascii="Arial" w:cs="Arial" w:eastAsia="Arial" w:hAnsi="Arial"/>
          <w:color w:val="000000"/>
          <w:sz w:val="20"/>
          <w:szCs w:val="20"/>
        </w:rPr>
        <w:t xml:space="preserve">Evaluación 3 – Gestión de Proyectos (Trabajo en Clases)</w:t>
      </w:r>
    </w:p>
    <w:p>
      <w:pPr>
        <w:pBdr>
          <w:bottom w:val="single" w:color="F7A800" w:sz="8" w:space="4"/>
        </w:pBdr>
        <w:spacing w:after="160" w:before="120"/>
        <w:jc w:val="center"/>
      </w:pPr>
      <w:r>
        <w:rPr>
          <w:rFonts w:ascii="Arial" w:cs="Arial" w:eastAsia="Arial" w:hAnsi="Arial"/>
          <w:b/>
          <w:bCs/>
          <w:color w:val="003B71"/>
          <w:sz w:val="24"/>
          <w:szCs w:val="24"/>
        </w:rPr>
        <w:t xml:space="preserve">Resumen del Área de Conocimiento: Gestión de los Costos del Proyecto</w:t>
      </w:r>
    </w:p>
    <w:p>
      <w:pPr>
        <w:spacing w:after="80" w:before="180"/>
      </w:pPr>
      <w:r>
        <w:rPr>
          <w:rFonts w:ascii="Arial" w:cs="Arial" w:eastAsia="Arial" w:hAnsi="Arial"/>
          <w:b/>
          <w:bCs/>
          <w:color w:val="003B71"/>
          <w:sz w:val="22"/>
          <w:szCs w:val="22"/>
        </w:rPr>
        <w:t xml:space="preserve">Introducción</w:t>
      </w:r>
    </w:p>
    <w:p>
      <w:pPr>
        <w:spacing w:after="100" w:before="0"/>
        <w:jc w:val="both"/>
      </w:pPr>
      <w:r>
        <w:rPr>
          <w:rFonts w:ascii="Arial" w:cs="Arial" w:eastAsia="Arial" w:hAnsi="Arial"/>
          <w:color w:val="000000"/>
          <w:sz w:val="20"/>
          <w:szCs w:val="20"/>
        </w:rPr>
        <w:t xml:space="preserve">La Guía del PMBOK®, sexta edición, organiza la dirección de proyectos en diez áreas de conocimiento. El presente resumen aborda la cuarta de ellas, denominada Gestión de los Costos del Proyecto, y la analiza en relación con ManttoAI, plataforma SaaS de mantenimiento predictivo basada en IoT orientada a PYMES industriales de América Latina. El propósito del resumen es identificar los procesos clave del área, comprender sus fundamentos teóricos y proyectar su aplicación práctica al desarrollo del emprendimiento.</w:t>
      </w:r>
    </w:p>
    <w:p>
      <w:pPr>
        <w:spacing w:after="80" w:before="180"/>
      </w:pPr>
      <w:r>
        <w:rPr>
          <w:rFonts w:ascii="Arial" w:cs="Arial" w:eastAsia="Arial" w:hAnsi="Arial"/>
          <w:b/>
          <w:bCs/>
          <w:color w:val="003B71"/>
          <w:sz w:val="22"/>
          <w:szCs w:val="22"/>
        </w:rPr>
        <w:t xml:space="preserve">Definición y alcance del área</w:t>
      </w:r>
    </w:p>
    <w:p>
      <w:pPr>
        <w:spacing w:after="100" w:before="0"/>
        <w:jc w:val="both"/>
      </w:pPr>
      <w:r>
        <w:rPr>
          <w:rFonts w:ascii="Arial" w:cs="Arial" w:eastAsia="Arial" w:hAnsi="Arial"/>
          <w:color w:val="000000"/>
          <w:sz w:val="20"/>
          <w:szCs w:val="20"/>
        </w:rPr>
        <w:t xml:space="preserve">La Gestión de los Costos del Proyecto incluye los procesos involucrados en planificar, estimar, presupuestar, financiar, gestionar y controlar los costos, de modo que el proyecto se complete dentro del presupuesto aprobado (PMI, 2017). El área reconoce dos tipos principales de costos: los costos directos, que se atribuyen directamente al proyecto, como el equipamiento físico o la infraestructura en la nube; y los costos indirectos, como los honorarios contables o la asesoría legal. En ManttoAI, los costos directos comprenden los seis kits ESP32 con sensores DHT22 y MPU-6050, los servicios de Digital Ocean en São Paulo y el dominio .cl registrado en NIC Chile. Los costos indirectos incluyen el contador externo de contadoresenlinea.cl, el abogado externo por servicio y el domicilio comercial virtual en OficinVirtual.cl.</w:t>
      </w:r>
    </w:p>
    <w:p>
      <w:pPr>
        <w:spacing w:after="80" w:before="180"/>
      </w:pPr>
      <w:r>
        <w:rPr>
          <w:rFonts w:ascii="Arial" w:cs="Arial" w:eastAsia="Arial" w:hAnsi="Arial"/>
          <w:b/>
          <w:bCs/>
          <w:color w:val="003B71"/>
          <w:sz w:val="22"/>
          <w:szCs w:val="22"/>
        </w:rPr>
        <w:t xml:space="preserve">Los cuatro procesos del área</w:t>
      </w:r>
    </w:p>
    <w:p>
      <w:pPr>
        <w:spacing w:after="100" w:before="0"/>
        <w:jc w:val="both"/>
      </w:pPr>
      <w:r>
        <w:rPr>
          <w:rFonts w:ascii="Arial" w:cs="Arial" w:eastAsia="Arial" w:hAnsi="Arial"/>
          <w:color w:val="000000"/>
          <w:sz w:val="20"/>
          <w:szCs w:val="20"/>
        </w:rPr>
        <w:t xml:space="preserve">El área se organiza en cuatro procesos distribuidos entre los grupos de Planificación y Monitoreo y Control. El primero, Planificar la Gestión de Costos, define el marco general bajo el cual se estimarán, presupuestarán y controlarán los costos del proyecto. Para ManttoAI, esto implicó fijar la moneda de trabajo en pesos chilenos con el dólar convertido al tipo de cambio referencial de $800, establecer un nivel de precisión de estimaciones redondeadas a $1.000 CLP y definir que cualquier desviación superior al 10% sobre la línea base requiere aprobación formal de los tres socios fundadores como directorio.</w:t>
      </w:r>
    </w:p>
    <w:p>
      <w:pPr>
        <w:spacing w:after="100" w:before="0"/>
        <w:jc w:val="both"/>
      </w:pPr>
      <w:r>
        <w:rPr>
          <w:rFonts w:ascii="Arial" w:cs="Arial" w:eastAsia="Arial" w:hAnsi="Arial"/>
          <w:color w:val="000000"/>
          <w:sz w:val="20"/>
          <w:szCs w:val="20"/>
        </w:rPr>
        <w:t xml:space="preserve">El segundo proceso, Estimar los Costos, busca desarrollar una aproximación de los recursos monetarios necesarios para completar las actividades. Se aplica estimación ascendente (bottom-up) para los activos físicos y digitales, y estimación análoga para los honorarios profesionales, tomando como referencia los precios publicados por los proveedores reales del proyecto. La inversión inicial del primer año asciende a $492.600 CLP, distribuidos entre equipamiento físico por $165.000 y la infraestructura digital anual por $327.600. Los costos operacionales mensuales fijos alcanzan $187.100 CLP, con el mayor componente en honorarios del contador externo ($89.000), seguido del abogado externo prorrateado ($62.500) y la infraestructura de Digital Ocean ($25.600).</w:t>
      </w:r>
    </w:p>
    <w:p>
      <w:pPr>
        <w:spacing w:after="100" w:before="0"/>
        <w:jc w:val="both"/>
      </w:pPr>
      <w:r>
        <w:rPr>
          <w:rFonts w:ascii="Arial" w:cs="Arial" w:eastAsia="Arial" w:hAnsi="Arial"/>
          <w:color w:val="000000"/>
          <w:sz w:val="20"/>
          <w:szCs w:val="20"/>
        </w:rPr>
        <w:t xml:space="preserve">El tercer proceso, Determinar el Presupuesto, consiste en sumar los costos estimados de las actividades para establecer la línea base de costos autorizada. La línea base de ManttoAI se construye sobre el capital inicial de $3.000.000 CLP aportado en partes iguales por los tres socios fundadores. De ese total, $492.600 corresponden a activos del primer año, $2.245.200 financian doce meses de operación y los $2.507.400 restantes, equivalentes al 83,6% del capital, se reservan como reserva de gestión para absorber riesgos no identificados. Con $187.100 mensuales en costos fijos, el presupuesto garantiza aproximadamente dieciséis meses de autonomía financiera sin necesidad de ingresos, holgura suficiente para validar el modelo comercial.</w:t>
      </w:r>
    </w:p>
    <w:p>
      <w:pPr>
        <w:spacing w:after="100" w:before="0"/>
        <w:jc w:val="both"/>
      </w:pPr>
      <w:r>
        <w:rPr>
          <w:rFonts w:ascii="Arial" w:cs="Arial" w:eastAsia="Arial" w:hAnsi="Arial"/>
          <w:color w:val="000000"/>
          <w:sz w:val="20"/>
          <w:szCs w:val="20"/>
        </w:rPr>
        <w:t xml:space="preserve">El cuarto proceso, Controlar los Costos, monitorea el estado del proyecto para actualizar el presupuesto y gestionar cambios a la línea base. ManttoAI implementa la Gestión del Valor Ganado (EVM) con corte mensual a cargo del CEO y validación del contador externo. Los indicadores clave son la Variación de Costos (CV = EV − AC), cuya alerta se activa si resulta negativo por dos meses consecutivos; el Índice de Desempeño de Costos (CPI = EV / AC), con umbral mínimo de 0,95; y la Estimación a la Conclusión (EAC = BAC / CPI), que dispara una revisión si supera el presupuesto base en más de un 10%. Las acciones correctivas son escalonadas: entre el 5 y el 10% de desviación se ajustan gastos discrecionales; entre el 10 y el 20% se posterga la incorporación de equipos propios y se activa la reserva de gestión; sobre el 20% se revisa el modelo de precios y se evalúa una reducción de los retiros proyectados para el segundo año.</w:t>
      </w:r>
    </w:p>
    <w:p>
      <w:pPr>
        <w:spacing w:after="80" w:before="180"/>
      </w:pPr>
      <w:r>
        <w:rPr>
          <w:rFonts w:ascii="Arial" w:cs="Arial" w:eastAsia="Arial" w:hAnsi="Arial"/>
          <w:b/>
          <w:bCs/>
          <w:color w:val="003B71"/>
          <w:sz w:val="22"/>
          <w:szCs w:val="22"/>
        </w:rPr>
        <w:t xml:space="preserve">Conclusión</w:t>
      </w:r>
    </w:p>
    <w:p>
      <w:pPr>
        <w:spacing w:after="100" w:before="0"/>
        <w:jc w:val="both"/>
      </w:pPr>
      <w:r>
        <w:rPr>
          <w:rFonts w:ascii="Arial" w:cs="Arial" w:eastAsia="Arial" w:hAnsi="Arial"/>
          <w:color w:val="000000"/>
          <w:sz w:val="20"/>
          <w:szCs w:val="20"/>
        </w:rPr>
        <w:t xml:space="preserve">La Gestión de los Costos del Proyecto entrega un marco integral para administrar los recursos financieros a lo largo del ciclo de vida del proyecto. Para ManttoAI, dominar sus cuatro procesos resulta determinante: la estimación ascendente sobre cotizaciones reales otorga credibilidad a las cifras; la separación entre línea base y reserva de gestión protege la operación frente a la incertidumbre comercial de los primeros meses; y el control mediante EVM, con umbrales y acciones correctivas predefinidas, permite anticipar desviaciones antes de que comprometan la viabilidad del emprendimiento. Todo ello es coherente con las buenas prácticas reconocidas internacionalmente por el PMI y con las exigencias de un mercado industrial que demanda soluciones confiables y financieramente sostenibles.</w:t>
      </w:r>
    </w:p>
    <w:p>
      <w:pPr>
        <w:spacing w:after="80" w:before="180"/>
      </w:pPr>
      <w:r>
        <w:rPr>
          <w:rFonts w:ascii="Arial" w:cs="Arial" w:eastAsia="Arial" w:hAnsi="Arial"/>
          <w:b/>
          <w:bCs/>
          <w:color w:val="003B71"/>
          <w:sz w:val="22"/>
          <w:szCs w:val="22"/>
        </w:rPr>
        <w:t xml:space="preserve">Referencias bibliográficas</w:t>
      </w:r>
    </w:p>
    <w:p>
      <w:pPr>
        <w:spacing w:after="100" w:before="0"/>
        <w:jc w:val="both"/>
      </w:pPr>
      <w:r>
        <w:rPr>
          <w:rFonts w:ascii="Arial" w:cs="Arial" w:eastAsia="Arial" w:hAnsi="Arial"/>
          <w:color w:val="000000"/>
          <w:sz w:val="20"/>
          <w:szCs w:val="20"/>
        </w:rPr>
        <w:t xml:space="preserve">Project Management Institute. (2017). Guía de los Fundamentos para la Dirección de Proyectos (Guía del PMBOK®) — Sexta Edición. PMI.</w:t>
      </w:r>
    </w:p>
    <w:p>
      <w:pPr>
        <w:spacing w:after="100" w:before="0"/>
        <w:jc w:val="both"/>
      </w:pPr>
      <w:r>
        <w:rPr>
          <w:rFonts w:ascii="Arial" w:cs="Arial" w:eastAsia="Arial" w:hAnsi="Arial"/>
          <w:color w:val="000000"/>
          <w:sz w:val="20"/>
          <w:szCs w:val="20"/>
        </w:rPr>
        <w:t xml:space="preserve">Digital Ocean. (2026). Pricing — Droplets, Managed Databases, Spaces. https://www.digitalocean.com/pricing</w:t>
      </w:r>
    </w:p>
    <w:p>
      <w:pPr>
        <w:spacing w:after="100" w:before="0"/>
        <w:jc w:val="both"/>
      </w:pPr>
      <w:r>
        <w:rPr>
          <w:rFonts w:ascii="Arial" w:cs="Arial" w:eastAsia="Arial" w:hAnsi="Arial"/>
          <w:color w:val="000000"/>
          <w:sz w:val="20"/>
          <w:szCs w:val="20"/>
        </w:rPr>
        <w:t xml:space="preserve">contadoresenlinea.cl. (2026). Planes de contabilidad para microempresas. https://www.contadoresenlinea.cl/</w:t>
      </w:r>
    </w:p>
    <w:p>
      <w:pPr>
        <w:spacing w:after="100" w:before="0"/>
        <w:jc w:val="both"/>
      </w:pPr>
      <w:r>
        <w:rPr>
          <w:rFonts w:ascii="Arial" w:cs="Arial" w:eastAsia="Arial" w:hAnsi="Arial"/>
          <w:color w:val="000000"/>
          <w:sz w:val="20"/>
          <w:szCs w:val="20"/>
        </w:rPr>
        <w:t xml:space="preserve">NIC Chile. (2026). Aranceles y registro de dominios .cl. https://www.nic.cl/</w:t>
      </w:r>
    </w:p>
    <w:p>
      <w:pPr>
        <w:spacing w:after="100" w:before="0"/>
        <w:jc w:val="both"/>
      </w:pPr>
      <w:r>
        <w:rPr>
          <w:rFonts w:ascii="Arial" w:cs="Arial" w:eastAsia="Arial" w:hAnsi="Arial"/>
          <w:color w:val="000000"/>
          <w:sz w:val="20"/>
          <w:szCs w:val="20"/>
        </w:rPr>
        <w:t xml:space="preserve">OficinVirtual.cl. (2026). Servicio de domicilio tributario y comercial — Temuco. https://oficinvirtual.cl/</w:t>
      </w:r>
    </w:p>
    <w:sectPr>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2026-05-04T23:06:34.974Z</dcterms:created>
  <dcterms:modified xsi:type="dcterms:W3CDTF">2026-05-04T23:06:34.990Z</dcterms:modified>
</cp:coreProperties>
</file>

<file path=docProps/custom.xml><?xml version="1.0" encoding="utf-8"?>
<Properties xmlns="http://schemas.openxmlformats.org/officeDocument/2006/custom-properties" xmlns:vt="http://schemas.openxmlformats.org/officeDocument/2006/docPropsVTypes"/>
</file>