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52"/>
        </w:rPr>
        <w:t>ManttoAI — Plataforma de Monitoreo IoT por Rubro</w:t>
      </w:r>
    </w:p>
    <w:p>
      <w:pPr>
        <w:spacing w:after="80"/>
        <w:jc w:val="center"/>
      </w:pPr>
      <w:r>
        <w:rPr>
          <w:b/>
          <w:sz w:val="28"/>
        </w:rPr>
        <w:t>Estudio de Factibilidad y Plan de Negocio</w:t>
      </w:r>
    </w:p>
    <w:p>
      <w:pPr>
        <w:spacing w:after="80"/>
        <w:jc w:val="center"/>
      </w:pPr>
      <w:r>
        <w:rPr>
          <w:b/>
          <w:sz w:val="28"/>
        </w:rPr>
        <w:t>Equipo fundador:</w:t>
      </w:r>
    </w:p>
    <w:p>
      <w:pPr>
        <w:spacing w:after="80"/>
        <w:jc w:val="center"/>
      </w:pPr>
      <w:r>
        <w:rPr>
          <w:sz w:val="24"/>
        </w:rPr>
        <w:t>Sebastián Bravo</w:t>
      </w:r>
    </w:p>
    <w:p>
      <w:pPr>
        <w:spacing w:after="80"/>
        <w:jc w:val="center"/>
      </w:pPr>
      <w:r>
        <w:rPr>
          <w:sz w:val="24"/>
        </w:rPr>
        <w:t>Luis Loyola</w:t>
      </w:r>
    </w:p>
    <w:p>
      <w:pPr>
        <w:spacing w:after="80"/>
        <w:jc w:val="center"/>
      </w:pPr>
      <w:r>
        <w:rPr>
          <w:sz w:val="24"/>
        </w:rPr>
        <w:t>Ángel Rubilar</w:t>
      </w:r>
    </w:p>
    <w:p>
      <w:pPr>
        <w:spacing w:after="80"/>
        <w:jc w:val="center"/>
      </w:pPr>
      <w:r>
        <w:rPr>
          <w:sz w:val="24"/>
        </w:rPr>
        <w:t>Temuco, Región de La Araucanía</w:t>
      </w:r>
    </w:p>
    <w:p>
      <w:pPr>
        <w:spacing w:after="80"/>
        <w:jc w:val="center"/>
      </w:pPr>
      <w:r>
        <w:rPr>
          <w:sz w:val="24"/>
        </w:rPr>
        <w:t>Mayo de 2026</w:t>
      </w:r>
    </w:p>
    <w:p>
      <w:r>
        <w:br w:type="page"/>
      </w:r>
    </w:p>
    <w:p>
      <w:pPr>
        <w:pStyle w:val="Heading2"/>
      </w:pPr>
      <w:r>
        <w:rPr>
          <w:color w:val="1F3A5F"/>
          <w:sz w:val="32"/>
        </w:rPr>
      </w:r>
      <w:r>
        <w:rPr>
          <w:b w:val="0"/>
          <w:i w:val="0"/>
          <w:color w:val="1F3A5F"/>
          <w:sz w:val="32"/>
        </w:rPr>
        <w:t>Introducción</w:t>
      </w:r>
    </w:p>
    <w:p>
      <w:pPr>
        <w:spacing w:after="120"/>
      </w:pPr>
      <w:r>
        <w:rPr>
          <w:b w:val="0"/>
          <w:i w:val="0"/>
        </w:rPr>
        <w:t>ManttoAI es una plataforma de monitoreo IoT que permite a pequeñas y medianas empresas chilenas anticipar fallas, optimizar recursos y tomar decisiones basadas en datos, sin necesidad de grandes inversiones en infraestructura tecnológica.</w:t>
      </w:r>
    </w:p>
    <w:p>
      <w:pPr>
        <w:spacing w:after="120"/>
      </w:pPr>
      <w:r>
        <w:rPr>
          <w:b w:val="0"/>
          <w:i w:val="0"/>
        </w:rPr>
        <w:t>El problema que resuelve es concreto: la mayoría de las PYMEs de los rubros industrial, agrícola y comercial operan de manera reactiva, esperando que algo falle para actuar. Las soluciones de monitoreo existentes están diseñadas para grandes industrias, con costos de implementación que superan los cientos de miles de dólares y que exigen equipos técnicos especializados. ManttoAI democratiza esa tecnología: sensores ESP32 de bajo costo, inteligencia artificial para predicción de fallas y un dashboard web accesible desde cualquier dispositivo, todo bajo un modelo de suscripción mensual.</w:t>
      </w:r>
    </w:p>
    <w:p>
      <w:pPr>
        <w:spacing w:after="120"/>
      </w:pPr>
      <w:r>
        <w:rPr>
          <w:b w:val="0"/>
          <w:i w:val="0"/>
        </w:rPr>
        <w:t>Este documento desarrolla el estudio de factibilidad del proyecto: descripción del producto y sus planes por rubro, análisis de los recursos necesarios, estructura organizacional, marco legal aplicable e impacto ambiental. Los costos, estructuras y proyecciones están basados en cifras reales del mercado chileno y reflejan la realidad de una microempresa en etapa inicial constituida por tres socios fundadores con un capital de $3.000.000 CLP.</w:t>
      </w:r>
    </w:p>
    <w:p>
      <w:pPr>
        <w:pStyle w:val="Heading2"/>
      </w:pPr>
      <w:r>
        <w:rPr>
          <w:color w:val="1F3A5F"/>
          <w:sz w:val="32"/>
        </w:rPr>
      </w:r>
      <w:r>
        <w:rPr>
          <w:b w:val="0"/>
          <w:i w:val="0"/>
          <w:color w:val="1F3A5F"/>
          <w:sz w:val="32"/>
        </w:rPr>
        <w:t>1. Descripción del Producto o Servicio</w:t>
      </w:r>
    </w:p>
    <w:p>
      <w:pPr>
        <w:pStyle w:val="Heading3"/>
      </w:pPr>
      <w:r>
        <w:rPr>
          <w:color w:val="1F3A5F"/>
          <w:sz w:val="26"/>
        </w:rPr>
      </w:r>
      <w:r>
        <w:rPr>
          <w:b w:val="0"/>
          <w:i w:val="0"/>
          <w:color w:val="1F3A5F"/>
          <w:sz w:val="26"/>
        </w:rPr>
        <w:t>1.1 Descripción de la Idea de Producto/Servicio</w:t>
      </w:r>
    </w:p>
    <w:p>
      <w:pPr>
        <w:spacing w:after="120"/>
      </w:pPr>
      <w:r>
        <w:rPr>
          <w:b w:val="0"/>
          <w:i w:val="0"/>
        </w:rPr>
        <w:t>ManttoAI es una plataforma de monitoreo IoT que utiliza microcontroladores ESP32 con distintos sensores según el rubro del cliente. El sistema captura variables físicas del entorno o de las maquinarias del cliente, las transmite a un servidor en la nube (Digital Ocean), procesa los datos con un modelo de Machine Learning y entrega alertas y visualizaciones en tiempo real a través de un dashboard web.</w:t>
      </w:r>
    </w:p>
    <w:p>
      <w:pPr>
        <w:spacing w:after="120"/>
      </w:pPr>
      <w:r>
        <w:rPr>
          <w:b w:val="0"/>
          <w:i w:val="0"/>
        </w:rPr>
        <w:t xml:space="preserve">El segmento objetivo son las </w:t>
      </w:r>
      <w:r>
        <w:rPr>
          <w:b/>
          <w:i w:val="0"/>
        </w:rPr>
        <w:t>microempresas y pequeñas empresas chilenas</w:t>
      </w:r>
      <w:r>
        <w:rPr>
          <w:b w:val="0"/>
          <w:i w:val="0"/>
        </w:rPr>
        <w:t xml:space="preserve"> (hasta UF 25.000 de ventas anuales, conforme a la Ley N° 20.416) de los rubros industrial, agrícola y comercial/instalaciones. Estas empresas no tienen acceso a soluciones de monitoreo costosas y operan de manera reactiva: esperan que algo falle para actuar. ManttoAI les entrega visibilidad anticipada a un costo mensual accesible.</w:t>
      </w:r>
    </w:p>
    <w:p>
      <w:pPr>
        <w:spacing w:after="120"/>
      </w:pPr>
      <w:r>
        <w:rPr>
          <w:b w:val="0"/>
          <w:i w:val="0"/>
        </w:rPr>
        <w:t xml:space="preserve">El modelo de negocio es </w:t>
      </w:r>
      <w:r>
        <w:rPr>
          <w:b/>
          <w:i w:val="0"/>
        </w:rPr>
        <w:t>SaaS (Software as a Service)</w:t>
      </w:r>
      <w:r>
        <w:rPr>
          <w:b w:val="0"/>
          <w:i w:val="0"/>
        </w:rPr>
        <w:t>: el cliente paga una suscripción mensual según su rubro y cantidad de sensores. La empresa provee el kit de sensores (costo adicional único) y el acceso a la plataforma.</w:t>
      </w:r>
    </w:p>
    <w:p>
      <w:pPr>
        <w:pStyle w:val="Heading3"/>
      </w:pPr>
      <w:r>
        <w:rPr>
          <w:color w:val="1F3A5F"/>
          <w:sz w:val="26"/>
        </w:rPr>
      </w:r>
      <w:r>
        <w:rPr>
          <w:b w:val="0"/>
          <w:i w:val="0"/>
          <w:color w:val="1F3A5F"/>
          <w:sz w:val="26"/>
        </w:rPr>
        <w:t>1.2 Diseño del Producto: Atributos y Beneficios</w:t>
      </w:r>
    </w:p>
    <w:p>
      <w:pPr>
        <w:pStyle w:val="Heading4"/>
      </w:pPr>
      <w:r>
        <w:rPr>
          <w:color w:val="1F3A5F"/>
          <w:sz w:val="24"/>
        </w:rPr>
      </w:r>
      <w:r>
        <w:rPr>
          <w:b w:val="0"/>
          <w:i w:val="0"/>
          <w:color w:val="1F3A5F"/>
          <w:sz w:val="24"/>
        </w:rPr>
        <w:t>Atributos principales</w:t>
      </w:r>
    </w:p>
    <w:p>
      <w:pPr>
        <w:pStyle w:val="ListBullet"/>
        <w:spacing w:after="40"/>
      </w:pPr>
      <w:r>
        <w:rPr>
          <w:b/>
          <w:i w:val="0"/>
        </w:rPr>
        <w:t>Sensores ESP32 por rubro</w:t>
      </w:r>
      <w:r>
        <w:rPr>
          <w:b w:val="0"/>
          <w:i w:val="0"/>
        </w:rPr>
        <w:t>: hardware económico y de código abierto, compatible con múltiples tipos de sensores según la necesidad del cliente.</w:t>
      </w:r>
    </w:p>
    <w:p>
      <w:pPr>
        <w:pStyle w:val="ListBullet"/>
        <w:spacing w:after="40"/>
      </w:pPr>
      <w:r>
        <w:rPr>
          <w:b/>
          <w:i w:val="0"/>
        </w:rPr>
        <w:t>Dashboard web en tiempo real</w:t>
      </w:r>
      <w:r>
        <w:rPr>
          <w:b w:val="0"/>
          <w:i w:val="0"/>
        </w:rPr>
        <w:t>: visualización de datos cada 10 segundos, accesible desde cualquier navegador sin instalar software.</w:t>
      </w:r>
    </w:p>
    <w:p>
      <w:pPr>
        <w:pStyle w:val="ListBullet"/>
        <w:spacing w:after="40"/>
      </w:pPr>
      <w:r>
        <w:rPr>
          <w:b/>
          <w:i w:val="0"/>
        </w:rPr>
        <w:t>Alertas automáticas</w:t>
      </w:r>
      <w:r>
        <w:rPr>
          <w:b w:val="0"/>
          <w:i w:val="0"/>
        </w:rPr>
        <w:t>: notificación por correo electrónico y en el dashboard cuando un parámetro supera el umbral configurado.</w:t>
      </w:r>
    </w:p>
    <w:p>
      <w:pPr>
        <w:pStyle w:val="ListBullet"/>
        <w:spacing w:after="40"/>
      </w:pPr>
      <w:r>
        <w:rPr>
          <w:b/>
          <w:i w:val="0"/>
        </w:rPr>
        <w:t>Motor predictivo</w:t>
      </w:r>
      <w:r>
        <w:rPr>
          <w:b w:val="0"/>
          <w:i w:val="0"/>
        </w:rPr>
        <w:t>: modelo Random Forest que estima la probabilidad de falla o evento en un horizonte de 24–72 horas.</w:t>
      </w:r>
    </w:p>
    <w:p>
      <w:pPr>
        <w:pStyle w:val="ListBullet"/>
        <w:spacing w:after="40"/>
      </w:pPr>
      <w:r>
        <w:rPr>
          <w:b/>
          <w:i w:val="0"/>
        </w:rPr>
        <w:t>Infraestructura en Digital Ocean</w:t>
      </w:r>
      <w:r>
        <w:rPr>
          <w:b w:val="0"/>
          <w:i w:val="0"/>
        </w:rPr>
        <w:t>: servidor en São Paulo, región con baja latencia para usuarios chilenos y matriz eléctrica mayoritariamente renovable.</w:t>
      </w:r>
    </w:p>
    <w:p>
      <w:pPr>
        <w:pStyle w:val="ListBullet"/>
        <w:spacing w:after="40"/>
      </w:pPr>
      <w:r>
        <w:rPr>
          <w:b/>
          <w:i w:val="0"/>
        </w:rPr>
        <w:t>API REST</w:t>
      </w:r>
      <w:r>
        <w:rPr>
          <w:b w:val="0"/>
          <w:i w:val="0"/>
        </w:rPr>
        <w:t>: permite integración futura con sistemas de gestión del cliente.</w:t>
      </w:r>
    </w:p>
    <w:p>
      <w:pPr>
        <w:pStyle w:val="Heading4"/>
      </w:pPr>
      <w:r>
        <w:rPr>
          <w:color w:val="1F3A5F"/>
          <w:sz w:val="24"/>
        </w:rPr>
      </w:r>
      <w:r>
        <w:rPr>
          <w:b w:val="0"/>
          <w:i w:val="0"/>
          <w:color w:val="1F3A5F"/>
          <w:sz w:val="24"/>
        </w:rPr>
        <w:t>Beneficios para el cliente</w:t>
      </w:r>
    </w:p>
    <w:p>
      <w:pPr>
        <w:pStyle w:val="ListBullet"/>
        <w:spacing w:after="40"/>
      </w:pPr>
      <w:r>
        <w:rPr>
          <w:b w:val="0"/>
          <w:i w:val="0"/>
        </w:rPr>
        <w:t>Detección temprana de problemas antes de que se conviertan en fallas costosas.</w:t>
      </w:r>
    </w:p>
    <w:p>
      <w:pPr>
        <w:pStyle w:val="ListBullet"/>
        <w:spacing w:after="40"/>
      </w:pPr>
      <w:r>
        <w:rPr>
          <w:b w:val="0"/>
          <w:i w:val="0"/>
        </w:rPr>
        <w:t>Ahorro en mantención correctiva de emergencia.</w:t>
      </w:r>
    </w:p>
    <w:p>
      <w:pPr>
        <w:pStyle w:val="ListBullet"/>
        <w:spacing w:after="40"/>
      </w:pPr>
      <w:r>
        <w:rPr>
          <w:b w:val="0"/>
          <w:i w:val="0"/>
        </w:rPr>
        <w:t>Acceso a monitoreo tecnológico sin necesidad de personal especializado en TI.</w:t>
      </w:r>
    </w:p>
    <w:p>
      <w:pPr>
        <w:pStyle w:val="ListBullet"/>
        <w:spacing w:after="40"/>
      </w:pPr>
      <w:r>
        <w:rPr>
          <w:b w:val="0"/>
          <w:i w:val="0"/>
        </w:rPr>
        <w:t>Costo mensual equivalente al de un servicio básico de telecomunicaciones.</w:t>
      </w:r>
    </w:p>
    <w:p>
      <w:pPr>
        <w:pStyle w:val="Heading4"/>
      </w:pPr>
      <w:r>
        <w:rPr>
          <w:color w:val="1F3A5F"/>
          <w:sz w:val="24"/>
        </w:rPr>
      </w:r>
      <w:r>
        <w:rPr>
          <w:b w:val="0"/>
          <w:i w:val="0"/>
          <w:color w:val="1F3A5F"/>
          <w:sz w:val="24"/>
        </w:rPr>
        <w:t>Sensores ESP32 disponibles por tipo</w:t>
      </w:r>
    </w:p>
    <w:p>
      <w:pPr>
        <w:spacing w:after="120"/>
      </w:pPr>
      <w:r>
        <w:rPr>
          <w:b w:val="0"/>
          <w:i w:val="0"/>
        </w:rPr>
        <w:t>El microcontrolador ESP32 es compatible con una amplia gama de sensores. A continuación se detallan los tipos utilizados en ManttoAI, con su costo unitario referencial en Chile:</w:t>
      </w:r>
    </w:p>
    <w:tbl>
      <w:tblPr>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Sensor</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Función</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Interfaz</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Precisión</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unitario (USD)</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aprox. (CLP)</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DHT22 / AM2302</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Temperatura + humedad ambiental</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Digital</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±0,5°C / ±2% HR</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$2–$4</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$2.500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DS18B20 (sonda impermeable)</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Temperatura en suelo, líquidos o superficies</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1-Wire</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±0,5°C</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$2–$4</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$3.000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BME280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Temperatura + humedad + presión (3 en 1)</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I2C/SPI</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±1,0°C / ±3% HR</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$3–$5</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$3.500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ADXL345</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Vibración y movimiento (acelerómetro 3 ejes, hasta 3200 Hz)</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I2C/SPI</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Alta resolución</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$2–$4</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$2.500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MPU-6050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Vibración + giroscopio (movimiento complejo)</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I2C</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Media resolución</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$2–$3</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$2.000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JSN-SR04T (ultrasonido impermeable)</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Nivel de agua en estanques o reservorios (outdoor)</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Digital</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 cm</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$4–$8</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$5.000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HC-SR04</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Nivel de agua (uso interior)</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Digital</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 mm</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$2–$3</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$2.000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Capacitivo de suelo v1.2</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Humedad del suelo (no corrosivo)</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Analógico</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Relativa</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$1–$3</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$2.000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EC/TDS genérico</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Conductividad eléctrica / salinidad del suelo</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Analógico</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Media</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$4–$8</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$5.000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INMP441 (MEMS digital)</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Nivel de ruido / sonido ambiental (dB)</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I2S</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Alta fidelidad</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$3–$6</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$4.000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HC-SR501 (PIR)</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Detección de movimiento / presencia</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Digital</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$1–$2</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$1.500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YL-83 / FC-37</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Detección de fugas o presencia de agua</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Analógico</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$1–$2</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$1.500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XKC-Y25</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Nivel de líquido sin contacto (anticorrosión)</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Digital</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$3–$7</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$4.000</w:t>
            </w:r>
          </w:p>
        </w:tc>
      </w:tr>
    </w:tbl>
    <w:p/>
    <w:p>
      <w:pPr>
        <w:spacing w:after="120"/>
      </w:pPr>
      <w:r>
        <w:rPr>
          <w:b w:val="0"/>
          <w:i/>
        </w:rPr>
        <w:t>Precios referenciales de distribuidores: AliExpress, DFRobot, Adafruit, MercadoLibre Chile (2026). Tipo de cambio: $800 CLP/USD.</w:t>
      </w:r>
    </w:p>
    <w:p>
      <w:pPr>
        <w:pStyle w:val="Heading4"/>
      </w:pPr>
      <w:r>
        <w:rPr>
          <w:color w:val="1F3A5F"/>
          <w:sz w:val="24"/>
        </w:rPr>
      </w:r>
      <w:r>
        <w:rPr>
          <w:b w:val="0"/>
          <w:i w:val="0"/>
          <w:color w:val="1F3A5F"/>
          <w:sz w:val="24"/>
        </w:rPr>
        <w:t>Modelo de precios</w:t>
      </w:r>
    </w:p>
    <w:p>
      <w:pPr>
        <w:spacing w:after="120"/>
      </w:pPr>
      <w:r>
        <w:rPr>
          <w:b w:val="0"/>
          <w:i w:val="0"/>
        </w:rPr>
        <w:t xml:space="preserve">El precio para el cliente se compone de </w:t>
      </w:r>
      <w:r>
        <w:rPr>
          <w:b/>
          <w:i w:val="0"/>
        </w:rPr>
        <w:t>dos cobros independientes</w:t>
      </w:r>
      <w:r>
        <w:rPr>
          <w:b w:val="0"/>
          <w:i w:val="0"/>
        </w:rPr>
        <w:t>: la instalación del kit físico (pago único al contratar) y la suscripción a la plataforma (pago mensual por cada kit conectado). Este modelo garantiza que cada kit instalado cubra su propio costo de hardware y que el ingreso mensual escale proporcionalmente con el uso real del servidor.</w:t>
      </w:r>
    </w:p>
    <w:p>
      <w:pPr>
        <w:spacing w:after="120"/>
      </w:pPr>
      <w:r>
        <w:rPr>
          <w:b/>
          <w:i w:val="0"/>
        </w:rPr>
        <w:t>COBRO 1 — Instalación del kit (pago único por kit)</w:t>
      </w:r>
    </w:p>
    <w:p>
      <w:pPr>
        <w:spacing w:after="120"/>
      </w:pPr>
      <w:r>
        <w:rPr>
          <w:b w:val="0"/>
          <w:i w:val="0"/>
        </w:rPr>
        <w:t>Cada kit incluye el microcontrolador ESP32, los sensores según el tipo elegido, el cableado, el case protector y la instalación y puesta en marcha en el lugar del cliente. El precio es fijo por kit independiente de la cantidad contratada, ya que el costo de fabricación no disminuye a nuestra escala de operación.</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Tipo de kit</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Sensores incluidos</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Precio por kit (CLP)</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Kit Básico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Temperatura + Humedad (DHT22 o BME280)</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$80.000</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Kit Estándar</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Temperatura + Humedad + un sensor adicional según rubro: Vibración (ADXL345) / Humedad de suelo / Sonido (INMP441)</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$110.000</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Kit Premium</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Temperatura + Humedad + Vibración + Nivel de agua + Detección de fugas + Movimiento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$150.000</w:t>
            </w:r>
          </w:p>
        </w:tc>
      </w:tr>
    </w:tbl>
    <w:p/>
    <w:p>
      <w:pPr>
        <w:spacing w:after="120"/>
      </w:pPr>
      <w:r>
        <w:rPr>
          <w:b w:val="0"/>
          <w:i/>
        </w:rPr>
        <w:t>El cliente puede combinar distintos tipos de kit según sus necesidades. Por ejemplo, instalar 3 Kit Estándar y 2 Kit Premium en la misma operación.</w:t>
      </w:r>
    </w:p>
    <w:p>
      <w:pPr>
        <w:spacing w:after="120"/>
      </w:pPr>
      <w:r>
        <w:rPr>
          <w:b/>
          <w:i w:val="0"/>
        </w:rPr>
        <w:t>COBRO 2 — Plataforma ManttoAI (mensual por kit conectado)</w:t>
      </w:r>
    </w:p>
    <w:p>
      <w:pPr>
        <w:spacing w:after="120"/>
      </w:pPr>
      <w:r>
        <w:rPr>
          <w:b w:val="0"/>
          <w:i w:val="0"/>
        </w:rPr>
        <w:t>La suscripción mensual cubre el acceso al dashboard web, las alertas en tiempo real, el modelo de predicción ML, el almacenamiento de datos históricos y el soporte técnico. El precio se cobra por cada kit activo conectado a la plataforma, de modo que el ingreso escala linealmente con el tráfico y uso real del servidor.</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Kit conectado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Mensual por kit (CLP)</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Qué incluye</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Kit Básico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$15.000 / kit / mes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Dashboard, alertas por email, historial 30 días</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Kit Estándar</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$22.000 / kit / mes</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Dashboard, alertas email + WhatsApp, historial 1 año, reportes PDF mensuales</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Kit Premium</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$32.000 / kit / mes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Todo lo anterior + API REST, alertas personalizadas por umbral, soporte prioritario</w:t>
            </w:r>
          </w:p>
        </w:tc>
      </w:tr>
    </w:tbl>
    <w:p/>
    <w:p>
      <w:pPr>
        <w:spacing w:after="120"/>
      </w:pPr>
      <w:r>
        <w:rPr>
          <w:b/>
          <w:i w:val="0"/>
        </w:rPr>
        <w:t>Ejemplos de cobro total por cliente:</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Caso</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Kits</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Instalación hardware (única)</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Suscripción plataforma mensual</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Pequeño taller</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 Kit Básico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$240.000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$45.000 (3 × $15.000)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Empresa agrícola</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 Kit Estándar</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$880.000</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$176.000 (8 × $22.000)</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Planta industrial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15 Kit Premium</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$2.250.000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$480.000 (15 × $32.000)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Cliente mixto</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5 Estándar + 3 Premium</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$1.000.000</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$206.000 (5×$22.000 + 3×$32.000)</w:t>
            </w:r>
          </w:p>
        </w:tc>
      </w:tr>
    </w:tbl>
    <w:p/>
    <w:p>
      <w:pPr>
        <w:spacing w:after="160"/>
        <w:ind w:left="567"/>
      </w:pPr>
      <w:r>
        <w:rPr>
          <w:b w:val="0"/>
          <w:i/>
          <w:color w:val="404040"/>
        </w:rPr>
        <w:t>La suscripción mensual cubre el acceso completo a la plataforma ManttoAI: dashboard en tiempo real, motor de predicción ML, alertas, historial y soporte. No es un cobro adicional al kit — es el servicio de software que convierte los datos del hardware en información útil para el cliente. Ambos cobros son parte de la solución integrada que ofrece ManttoAI.</w:t>
      </w:r>
    </w:p>
    <w:p>
      <w:pPr>
        <w:spacing w:after="120"/>
      </w:pPr>
      <w:r>
        <w:rPr>
          <w:b w:val="0"/>
          <w:i/>
        </w:rPr>
        <w:t>Tabla 1. Modelo de precios ManttoAI — instalación y suscripción por kit (elaboración propia, 2026).</w:t>
      </w:r>
    </w:p>
    <w:p>
      <w:pPr>
        <w:pStyle w:val="Heading3"/>
      </w:pPr>
      <w:r>
        <w:rPr>
          <w:color w:val="1F3A5F"/>
          <w:sz w:val="26"/>
        </w:rPr>
      </w:r>
      <w:r>
        <w:rPr>
          <w:b w:val="0"/>
          <w:i w:val="0"/>
          <w:color w:val="1F3A5F"/>
          <w:sz w:val="26"/>
        </w:rPr>
        <w:t>1.3 Descripción del Proceso Productivo</w:t>
      </w:r>
    </w:p>
    <w:p>
      <w:pPr>
        <w:spacing w:after="120"/>
      </w:pPr>
      <w:r>
        <w:rPr>
          <w:b w:val="0"/>
          <w:i w:val="0"/>
        </w:rPr>
        <w:t>El proceso productivo de ManttoAI es un flujo de datos desde la captura física hasta la entrega de alertas al cliente. Se estructura en 8 etapas:</w:t>
      </w:r>
    </w:p>
    <w:p>
      <w:pPr>
        <w:spacing w:after="160"/>
        <w:ind w:left="283"/>
      </w:pPr>
      <w:r>
        <w:rPr>
          <w:rFonts w:ascii="Consolas" w:hAnsi="Consolas"/>
          <w:sz w:val="17"/>
        </w:rPr>
        <w:t>┌─────────────┐    ┌─────────────┐    ┌─────────────┐    ┌─────────────┐</w:t>
        <w:br/>
        <w:t>│  ETAPA 1    │    │  ETAPA 2    │    │  ETAPA 3    │    │  ETAPA 4    │</w:t>
        <w:br/>
        <w:t>│ Captura IoT │───▶│ Transmisión │───▶│   Ingesta   │───▶│ Persistencia│</w:t>
        <w:br/>
        <w:t>│   ESP32     │    │   MQTT/TLS  │    │   FastAPI   │    │ PostgreSQL  │</w:t>
        <w:br/>
        <w:t>└─────────────┘    └─────────────┘    └─────────────┘    └─────────────┘</w:t>
        <w:br/>
        <w:t xml:space="preserve">                                                                  │</w:t>
        <w:br/>
        <w:t>┌─────────────┐    ┌─────────────┐    ┌─────────────┐    ┌───────▼─────┐</w:t>
        <w:br/>
        <w:t>│  ETAPA 8    │    │  ETAPA 7    │    │  ETAPA 6    │    │  ETAPA 5    │</w:t>
        <w:br/>
        <w:t>│Visualización│◀───│Notificación │◀───│   Alerta    │◀───│  Motor ML   │</w:t>
        <w:br/>
        <w:t>│  Dashboard  │    │ Email/App   │    │  si umbral  │    │Random Forest│</w:t>
        <w:br/>
        <w:t>└─────────────┘    └─────────────┘    └─────────────┘    └─────────────┘</w:t>
      </w:r>
    </w:p>
    <w:p>
      <w:pPr>
        <w:spacing w:after="120"/>
      </w:pPr>
      <w:r>
        <w:rPr>
          <w:b w:val="0"/>
          <w:i/>
        </w:rPr>
        <w:t>Figura 1. Proceso productivo ManttoAI — flujo extremo a extremo (elaboración propia).</w:t>
      </w:r>
    </w:p>
    <w:p>
      <w:pPr>
        <w:spacing w:after="120"/>
      </w:pPr>
      <w:r>
        <w:rPr>
          <w:b/>
          <w:i w:val="0"/>
        </w:rPr>
        <w:t>Detalle de etapas y controles: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Etapa</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Control de calidad</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 Captura IoT</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ESP32 muestrea sensores cada 5 segundos según el rubro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Validación de rango físico en firmware antes de transmitir</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 Transmisión MQTT</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Datos enviados vía protocolo MQTT sobre TLS</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QoS 1 (confirmación de entrega), heartbeat cada 30 s</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 Ingesta FastAPI</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Backend recibe y valida cada mensaje</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Esquema Pydantic, autenticación JWT, rate limiting</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4. Persistencia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Almacenamiento en PostgreSQL (Digital Ocean Managed DB)</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Índices por equipo/zona y timestamp; respaldo diario automático</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 Motor ML</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Random Forest estima probabilidad de falla/evento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Umbral de calidad F1 ≥ 0,80 verificado en cada reentrenamiento</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6. Alerta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Si probabilidad ≥ umbral (default 70%) se genera alerta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 xml:space="preserve">Registro completo en tabla </w:t>
            </w:r>
            <w:r>
              <w:rPr>
                <w:rFonts w:ascii="Consolas" w:hAnsi="Consolas"/>
                <w:sz w:val="20"/>
              </w:rPr>
              <w:t>alertas</w:t>
            </w:r>
            <w:r>
              <w:rPr>
                <w:b w:val="0"/>
                <w:i w:val="0"/>
                <w:sz w:val="20"/>
              </w:rPr>
              <w:t xml:space="preserve"> para auditoría</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7. Notificación</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Alerta enviada al dashboard y por correo electrónico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SLA de notificación &lt; 1 minuto desde detección</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 Visualización</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Dashboard React muestra estado en tiempo real</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Auto-refresh cada 10 segundos</w:t>
            </w:r>
          </w:p>
        </w:tc>
      </w:tr>
    </w:tbl>
    <w:p/>
    <w:p>
      <w:pPr>
        <w:pStyle w:val="Heading2"/>
      </w:pPr>
      <w:r>
        <w:rPr>
          <w:color w:val="1F3A5F"/>
          <w:sz w:val="32"/>
        </w:rPr>
      </w:r>
      <w:r>
        <w:rPr>
          <w:b w:val="0"/>
          <w:i w:val="0"/>
          <w:color w:val="1F3A5F"/>
          <w:sz w:val="32"/>
        </w:rPr>
        <w:t>2. Análisis de Recursos</w:t>
      </w:r>
    </w:p>
    <w:p>
      <w:pPr>
        <w:pStyle w:val="Heading3"/>
      </w:pPr>
      <w:r>
        <w:rPr>
          <w:color w:val="1F3A5F"/>
          <w:sz w:val="26"/>
        </w:rPr>
      </w:r>
      <w:r>
        <w:rPr>
          <w:b w:val="0"/>
          <w:i w:val="0"/>
          <w:color w:val="1F3A5F"/>
          <w:sz w:val="26"/>
        </w:rPr>
        <w:t>2.1 Localización y Distribución de la Planta (Layout)</w:t>
      </w:r>
    </w:p>
    <w:p>
      <w:pPr>
        <w:spacing w:after="120"/>
      </w:pPr>
      <w:r>
        <w:rPr>
          <w:b w:val="0"/>
          <w:i w:val="0"/>
        </w:rPr>
        <w:t xml:space="preserve">ManttoAI opera bajo un modelo </w:t>
      </w:r>
      <w:r>
        <w:rPr>
          <w:b/>
          <w:i w:val="0"/>
        </w:rPr>
        <w:t>remoto con domicilio comercial formal</w:t>
      </w:r>
      <w:r>
        <w:rPr>
          <w:b w:val="0"/>
          <w:i w:val="0"/>
        </w:rPr>
        <w:t xml:space="preserve"> en Temuco, Región de La Araucanía. Si bien los socios trabajan desde sus domicilios, la empresa requiere una dirección comercial válida ante el SII para constituirse, tramitar la patente municipal y emitir documentos tributarios electrónicos.</w:t>
      </w:r>
    </w:p>
    <w:p>
      <w:pPr>
        <w:spacing w:after="120"/>
      </w:pPr>
      <w:r>
        <w:rPr>
          <w:b/>
          <w:i w:val="0"/>
        </w:rPr>
        <w:t>Layout físico — Año 1:</w:t>
      </w:r>
    </w:p>
    <w:p>
      <w:pPr>
        <w:spacing w:after="120"/>
      </w:pPr>
      <w:r>
        <w:rPr>
          <w:b w:val="0"/>
          <w:i w:val="0"/>
        </w:rPr>
        <w:t xml:space="preserve">Para cubrir el requisito de dirección comercial al menor costo posible, se contrata un </w:t>
      </w:r>
      <w:r>
        <w:rPr>
          <w:b/>
          <w:i w:val="0"/>
        </w:rPr>
        <w:t>servicio de domicilio tributario virtual</w:t>
      </w:r>
      <w:r>
        <w:rPr>
          <w:b w:val="0"/>
          <w:i w:val="0"/>
        </w:rPr>
        <w:t xml:space="preserve"> en Temuco. Se evaluaron tres opciones disponibles en el mercado local:</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Proveedor</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Dirección</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mensual aprox.</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Incluye</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OficinVirtual.cl</w:t>
            </w:r>
            <w:r>
              <w:rPr>
                <w:b w:val="0"/>
                <w:i w:val="0"/>
                <w:sz w:val="20"/>
              </w:rPr>
              <w:t xml:space="preserve"> </w:t>
            </w:r>
            <w:r>
              <w:rPr>
                <w:b w:val="0"/>
                <w:i/>
                <w:sz w:val="20"/>
              </w:rPr>
              <w:t>(seleccionada)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Vicuña Mackenna 678, Of. 307</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~$5.000 CLP/mes (pago anual $59.500)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Domicilio tributario SII, recepción de correspondencia oficial, contrato notarial</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El Núcleo</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Antonio Varas 979</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~$14.000 CLP/mes (pago semestral)</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Domicilio tributario, recepción de correspondencia + 10 hrs cowork/mes</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Apex Oficina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Temuco centro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 cotizar</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Domicilio tributario, patente municipal, tramitación en 6 horas</w:t>
            </w:r>
          </w:p>
        </w:tc>
      </w:tr>
    </w:tbl>
    <w:p/>
    <w:p>
      <w:pPr>
        <w:spacing w:after="120"/>
      </w:pPr>
      <w:r>
        <w:rPr>
          <w:b w:val="0"/>
          <w:i/>
        </w:rPr>
        <w:t>Tabla 2. Opciones de domicilio comercial en Temuco (OficinVirtual.cl, El Núcleo, 2026).</w:t>
      </w:r>
    </w:p>
    <w:p>
      <w:pPr>
        <w:spacing w:after="120"/>
      </w:pPr>
      <w:r>
        <w:rPr>
          <w:b w:val="0"/>
          <w:i w:val="0"/>
        </w:rPr>
        <w:t xml:space="preserve">Se selecciona </w:t>
      </w:r>
      <w:r>
        <w:rPr>
          <w:b/>
          <w:i w:val="0"/>
        </w:rPr>
        <w:t>OficinVirtual.cl</w:t>
      </w:r>
      <w:r>
        <w:rPr>
          <w:b w:val="0"/>
          <w:i w:val="0"/>
        </w:rPr>
        <w:t xml:space="preserve"> por ser la opción más económica ($59.500 CLP/año), con contrato notarial que cumple los requisitos del SII para inicio de actividades y tramitación de patente municipal.</w:t>
      </w:r>
    </w:p>
    <w:p>
      <w:pPr>
        <w:spacing w:after="120"/>
      </w:pPr>
      <w:r>
        <w:rPr>
          <w:b w:val="0"/>
          <w:i w:val="0"/>
        </w:rPr>
        <w:t>Los tres socios trabajan desde sus domicilios en Temuco con sus equipos personales. Las reuniones de coordinación se realizan de manera remota (videollamada). Para reuniones con clientes o demostraciones, se puede reservar una sala en El Núcleo Cowork (Antonio Varas 979) por hora, sin necesidad de plan mensual.</w:t>
      </w:r>
    </w:p>
    <w:p>
      <w:pPr>
        <w:spacing w:after="120"/>
      </w:pPr>
      <w:r>
        <w:rPr>
          <w:b w:val="0"/>
          <w:i w:val="0"/>
        </w:rPr>
        <w:t xml:space="preserve">A partir del </w:t>
      </w:r>
      <w:r>
        <w:rPr>
          <w:b/>
          <w:i w:val="0"/>
        </w:rPr>
        <w:t>Año 2–3</w:t>
      </w:r>
      <w:r>
        <w:rPr>
          <w:b w:val="0"/>
          <w:i w:val="0"/>
        </w:rPr>
        <w:t xml:space="preserve">, según el crecimiento del equipo y la base de clientes, se evaluará el arriendo de un espacio de co-work con dedicación mensual. Las oficinas de 20–25 m² en el centro de Temuco se encuentran en el rango de </w:t>
      </w:r>
      <w:r>
        <w:rPr>
          <w:b/>
          <w:i w:val="0"/>
        </w:rPr>
        <w:t>$185.000–$350.000 CLP/mes</w:t>
      </w:r>
      <w:r>
        <w:rPr>
          <w:b w:val="0"/>
          <w:i w:val="0"/>
        </w:rPr>
        <w:t xml:space="preserve"> más gastos comunes (~$30.000–$60.000 CLP/mes).</w:t>
      </w:r>
    </w:p>
    <w:p>
      <w:pPr>
        <w:spacing w:after="120"/>
      </w:pPr>
      <w:r>
        <w:rPr>
          <w:b/>
          <w:i w:val="0"/>
        </w:rPr>
        <w:t>Layout digital — Año 1:</w:t>
      </w:r>
    </w:p>
    <w:p>
      <w:pPr>
        <w:spacing w:after="120"/>
      </w:pPr>
      <w:r>
        <w:rPr>
          <w:b w:val="0"/>
          <w:i w:val="0"/>
        </w:rPr>
        <w:t xml:space="preserve">La infraestructura productiva se aloja en </w:t>
      </w:r>
      <w:r>
        <w:rPr>
          <w:b/>
          <w:i w:val="0"/>
        </w:rPr>
        <w:t>Digital Ocean</w:t>
      </w:r>
      <w:r>
        <w:rPr>
          <w:b w:val="0"/>
          <w:i w:val="0"/>
        </w:rPr>
        <w:t>, región São Paulo, elegida por su baja latencia para usuarios chilenos, precios accesibles para equipos pequeños y disponibilidad de herramientas gestionadas que reducen la carga operacional del equipo técnico.</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Servicio Digital Ocean</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mensual (USD)</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mensual (CLP aprox.)</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Droplet Basic 2GB/1vCPU</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Backend FastAPI + broker MQTT</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$12</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$9.600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Managed PostgreSQL (db-s-1vcpu-1gb)</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Base de datos gestionada, respaldos automáticos</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$15</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$12.000</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Spaces (250 GB)</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Almacenamiento de datasets, artefactos ML y respaldos</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$4.000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TOTAL mensual</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$32</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~$25.600</w:t>
            </w:r>
          </w:p>
        </w:tc>
      </w:tr>
    </w:tbl>
    <w:p/>
    <w:p>
      <w:pPr>
        <w:spacing w:after="120"/>
      </w:pPr>
      <w:r>
        <w:rPr>
          <w:b w:val="0"/>
          <w:i/>
        </w:rPr>
        <w:t>Tabla 3. Infraestructura Digital Ocean Año 1 (Digital Ocean Pricing, 2026). Tipo de cambio referencial: $800 CLP/USD.</w:t>
      </w:r>
    </w:p>
    <w:p>
      <w:pPr>
        <w:spacing w:after="120"/>
      </w:pPr>
      <w:r>
        <w:rPr>
          <w:b/>
          <w:i w:val="0"/>
        </w:rPr>
        <w:t>Decisión comprar vs. arrendar:</w:t>
      </w:r>
      <w:r>
        <w:rPr>
          <w:b w:val="0"/>
          <w:i w:val="0"/>
        </w:rPr>
        <w:t xml:space="preserve"> se opta por contratar 100% en la nube (arrendar capacidad computacional) porque:</w:t>
      </w:r>
    </w:p>
    <w:p>
      <w:pPr>
        <w:pStyle w:val="ListBullet"/>
        <w:spacing w:after="40"/>
      </w:pPr>
      <w:r>
        <w:rPr>
          <w:b w:val="0"/>
          <w:i w:val="0"/>
        </w:rPr>
        <w:t>Elimina el desembolso de capital en servidores físicos.</w:t>
      </w:r>
    </w:p>
    <w:p>
      <w:pPr>
        <w:pStyle w:val="ListBullet"/>
        <w:spacing w:after="40"/>
      </w:pPr>
      <w:r>
        <w:rPr>
          <w:b w:val="0"/>
          <w:i w:val="0"/>
        </w:rPr>
        <w:t>El costo es variable y escala según los clientes activos.</w:t>
      </w:r>
    </w:p>
    <w:p>
      <w:pPr>
        <w:pStyle w:val="ListBullet"/>
        <w:spacing w:after="40"/>
      </w:pPr>
      <w:r>
        <w:rPr>
          <w:b w:val="0"/>
          <w:i w:val="0"/>
        </w:rPr>
        <w:t>Digital Ocean provee respaldos automáticos, actualizaciones de seguridad y disponibilidad sin necesidad de personal técnico dedicado.</w:t>
      </w:r>
    </w:p>
    <w:p>
      <w:pPr>
        <w:pStyle w:val="ListBullet"/>
        <w:spacing w:after="40"/>
      </w:pPr>
      <w:r>
        <w:rPr>
          <w:b w:val="0"/>
          <w:i w:val="0"/>
        </w:rPr>
        <w:t>El modelo pay-as-you-go es consistente con el capital limitado del equipo.</w:t>
      </w:r>
    </w:p>
    <w:p>
      <w:pPr>
        <w:spacing w:after="120"/>
      </w:pPr>
      <w:r>
        <w:rPr>
          <w:b w:val="0"/>
          <w:i w:val="0"/>
        </w:rPr>
        <w:t xml:space="preserve">A partir del </w:t>
      </w:r>
      <w:r>
        <w:rPr>
          <w:b/>
          <w:i w:val="0"/>
        </w:rPr>
        <w:t>Año 3</w:t>
      </w:r>
      <w:r>
        <w:rPr>
          <w:b w:val="0"/>
          <w:i w:val="0"/>
        </w:rPr>
        <w:t>, cuando la cartera supere los 15 clientes activos y la operación amerite reuniones presenciales recurrentes, se evaluará el arriendo de un espacio de co-work en Temuco. La empresa se mantendría dentro del rango de microempresa según Ley N° 20.416 (ventas anuales &lt; UF 2.400 ≈ $93.600.000 CLP) durante todo el horizonte de proyección.</w:t>
      </w:r>
    </w:p>
    <w:p>
      <w:pPr>
        <w:pStyle w:val="Heading3"/>
      </w:pPr>
      <w:r>
        <w:rPr>
          <w:color w:val="1F3A5F"/>
          <w:sz w:val="26"/>
        </w:rPr>
      </w:r>
      <w:r>
        <w:rPr>
          <w:b w:val="0"/>
          <w:i w:val="0"/>
          <w:color w:val="1F3A5F"/>
          <w:sz w:val="26"/>
        </w:rPr>
        <w:t>2.2 Identificación de Maquinarias y Equipos</w:t>
      </w:r>
    </w:p>
    <w:p>
      <w:pPr>
        <w:spacing w:after="120"/>
      </w:pPr>
      <w:r>
        <w:rPr>
          <w:b w:val="0"/>
          <w:i w:val="0"/>
        </w:rPr>
        <w:t>Los activos requeridos son mínimos: los tres socios cuentan con sus propios notebooks de desarrollo (no se compran computadores adicionales). Solo se adquieren los kits de sensores necesarios para el prototipo y las demostraciones con clientes piloto.</w:t>
      </w:r>
    </w:p>
    <w:p>
      <w:pPr>
        <w:spacing w:after="120"/>
      </w:pPr>
      <w:r>
        <w:rPr>
          <w:b w:val="0"/>
          <w:i w:val="0"/>
        </w:rPr>
        <w:t xml:space="preserve">Los activos se dividen en dos categorías: </w:t>
      </w:r>
      <w:r>
        <w:rPr>
          <w:b/>
          <w:i w:val="0"/>
        </w:rPr>
        <w:t>equipamiento físico</w:t>
      </w:r>
      <w:r>
        <w:rPr>
          <w:b w:val="0"/>
          <w:i w:val="0"/>
        </w:rPr>
        <w:t xml:space="preserve"> (hardware IoT y herramientas de desarrollo) e </w:t>
      </w:r>
      <w:r>
        <w:rPr>
          <w:b/>
          <w:i w:val="0"/>
        </w:rPr>
        <w:t>infraestructura digital</w:t>
      </w:r>
      <w:r>
        <w:rPr>
          <w:b w:val="0"/>
          <w:i w:val="0"/>
        </w:rPr>
        <w:t xml:space="preserve"> (servicios cloud y dominio web que sostienen la plataforma).</w:t>
      </w:r>
    </w:p>
    <w:p>
      <w:pPr>
        <w:spacing w:after="120"/>
      </w:pPr>
      <w:r>
        <w:rPr>
          <w:b/>
          <w:i w:val="0"/>
        </w:rPr>
        <w:t>Equipamiento físico:</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Activo</w:t>
            </w:r>
          </w:p>
        </w:tc>
        <w:tc>
          <w:tcPr>
            <w:tcW w:type="dxa" w:w="188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c>
          <w:tcPr>
            <w:tcW w:type="dxa" w:w="188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Cant.</w:t>
            </w:r>
          </w:p>
        </w:tc>
        <w:tc>
          <w:tcPr>
            <w:tcW w:type="dxa" w:w="188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unitario (CLP)</w:t>
            </w:r>
          </w:p>
        </w:tc>
        <w:tc>
          <w:tcPr>
            <w:tcW w:type="dxa" w:w="188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Total (CLP)</w:t>
            </w:r>
          </w:p>
        </w:tc>
      </w:tr>
      <w:tr>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Notebook personal</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Cada socio usa su propio equipo</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 (propio)</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r>
      <w:tr>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Kit ESP32 Industrial</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ESP32 + BME280 + ADXL345 + cableado + case</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$28.000</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$84.000</w:t>
            </w:r>
          </w:p>
        </w:tc>
      </w:tr>
      <w:tr>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Kit ESP32 Agrícola</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ESP32 + sensor suelo + JSN-SR04T + DHT22</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$25.000</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$50.000</w:t>
            </w:r>
          </w:p>
        </w:tc>
      </w:tr>
      <w:tr>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Kit ESP32 Comercial</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ESP32 + INMP441 + HC-SR501 + DHT22</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$22.000</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$22.000</w:t>
            </w:r>
          </w:p>
        </w:tc>
      </w:tr>
      <w:tr>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Cable USB y adaptadores</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Para programación y flasheo de ESP32</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$3.000</w:t>
            </w:r>
          </w:p>
        </w:tc>
        <w:tc>
          <w:tcPr>
            <w:tcW w:type="dxa" w:w="188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$9.000</w:t>
            </w:r>
          </w:p>
        </w:tc>
      </w:tr>
      <w:tr>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Subtotal equipamiento físico</w:t>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p>
        </w:tc>
        <w:tc>
          <w:tcPr>
            <w:tcW w:type="dxa" w:w="188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$165.000</w:t>
            </w:r>
          </w:p>
        </w:tc>
      </w:tr>
    </w:tbl>
    <w:p/>
    <w:p>
      <w:pPr>
        <w:spacing w:after="120"/>
      </w:pPr>
      <w:r>
        <w:rPr>
          <w:b/>
          <w:i w:val="0"/>
        </w:rPr>
        <w:t>Infraestructura digital (costo anual Año 1):</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Activo</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mensual (CLP)</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anual (CLP)</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Droplet Basic 2GB/1vCPU — Digital Ocean</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Servidor principal: backend FastAPI + broker MQTT</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$9.600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$115.200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Managed PostgreSQL — Digital Ocean</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Base de datos gestionada con respaldos automáticos</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$12.000</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$144.000</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Spaces 250 GB — Digital Ocean</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Almacenamiento de datasets, modelos ML y respaldos</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$4.000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$48.000</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Dominio web manttoai.cl (NIC Chile)</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Dirección web de la plataforma</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$1.700</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$20.400</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Subtotal infraestructura digital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$27.300/mes</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$327.600</w:t>
            </w:r>
          </w:p>
        </w:tc>
      </w:tr>
    </w:tbl>
    <w:p/>
    <w:p>
      <w:pPr>
        <w:spacing w:after="120"/>
      </w:pPr>
      <w:r>
        <w:rPr>
          <w:b/>
          <w:i w:val="0"/>
        </w:rPr>
        <w:t>Resumen inversión total Año 1:</w:t>
      </w:r>
    </w:p>
    <w:tbl>
      <w:tblPr>
        <w:tblW w:type="auto" w:w="0"/>
        <w:jc w:val="center"/>
        <w:tblLayout w:type="autofit"/>
        <w:tblLook w:firstColumn="1" w:firstRow="1" w:lastColumn="0" w:lastRow="0" w:noHBand="0" w:noVBand="1" w:val="04A0"/>
      </w:tblPr>
      <w:tblGrid>
        <w:gridCol w:w="4703"/>
        <w:gridCol w:w="4703"/>
      </w:tblGrid>
      <w:tr>
        <w:tc>
          <w:tcPr>
            <w:tcW w:type="dxa" w:w="4703"/>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Categoría</w:t>
            </w:r>
          </w:p>
        </w:tc>
        <w:tc>
          <w:tcPr>
            <w:tcW w:type="dxa" w:w="4703"/>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Total (CLP)</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Equipamiento físico (compra única)</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$165.000</w:t>
            </w:r>
          </w:p>
        </w:tc>
      </w:tr>
      <w:tr>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Infraestructura digital (anual)</w:t>
            </w:r>
          </w:p>
        </w:tc>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$327.600</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TOTAL activos Año 1</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$492.600</w:t>
            </w:r>
          </w:p>
        </w:tc>
      </w:tr>
    </w:tbl>
    <w:p/>
    <w:p>
      <w:pPr>
        <w:spacing w:after="120"/>
      </w:pPr>
      <w:r>
        <w:rPr>
          <w:b w:val="0"/>
          <w:i/>
        </w:rPr>
        <w:t>Tabla 4. Lista de activos requeridos Año 1 (elaboración propia, Digital Ocean Pricing 2026, NIC Chile 2026).</w:t>
      </w:r>
    </w:p>
    <w:p>
      <w:pPr>
        <w:pStyle w:val="Heading3"/>
      </w:pPr>
      <w:r>
        <w:rPr>
          <w:color w:val="1F3A5F"/>
          <w:sz w:val="26"/>
        </w:rPr>
      </w:r>
      <w:r>
        <w:rPr>
          <w:b w:val="0"/>
          <w:i w:val="0"/>
          <w:color w:val="1F3A5F"/>
          <w:sz w:val="26"/>
        </w:rPr>
        <w:t>2.3 Identificación de la Infraestructura Necesaria</w:t>
      </w:r>
    </w:p>
    <w:p>
      <w:pPr>
        <w:spacing w:after="120"/>
      </w:pPr>
      <w:r>
        <w:rPr>
          <w:b w:val="0"/>
          <w:i w:val="0"/>
        </w:rPr>
        <w:t>No se requiere infraestructura física propia (local, bodega, planta). Toda la infraestructura es digital y se contrata bajo modalidad cloud (arriendo), como se detalló en la sección 2.1.</w:t>
      </w:r>
    </w:p>
    <w:p>
      <w:pPr>
        <w:spacing w:after="120"/>
      </w:pPr>
      <w:r>
        <w:rPr>
          <w:b/>
          <w:i w:val="0"/>
        </w:rPr>
        <w:t>Evaluación comprar vs. arrendar infraestructura tecnológica:</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Criterio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Comprar servidor físico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Arrendar en Digital Ocean</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Inversión inicial</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~$800.000–$1.500.000 CLP</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Costo mensual</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Energía + internet + mantención</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~$25.600 CLP/mes</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Escalabilidad</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Limitada al hardware</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Inmediata (plan superior en 1 clic)</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Respaldos</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Gestión manual</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Automáticos incluidos</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Disponibilidad</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Depende de cortes en el domicilio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99,99% SLA Digital Ocean</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Decisión</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No recomendado</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Seleccionado</w:t>
            </w:r>
          </w:p>
        </w:tc>
      </w:tr>
    </w:tbl>
    <w:p/>
    <w:p>
      <w:pPr>
        <w:spacing w:after="120"/>
      </w:pPr>
      <w:r>
        <w:rPr>
          <w:b w:val="0"/>
          <w:i/>
        </w:rPr>
        <w:t>Tabla 5. Evaluación comprar vs. arrendar infraestructura (elaboración propia).</w:t>
      </w:r>
    </w:p>
    <w:p>
      <w:pPr>
        <w:pStyle w:val="Heading3"/>
      </w:pPr>
      <w:r>
        <w:rPr>
          <w:color w:val="1F3A5F"/>
          <w:sz w:val="26"/>
        </w:rPr>
      </w:r>
      <w:r>
        <w:rPr>
          <w:b w:val="0"/>
          <w:i w:val="0"/>
          <w:color w:val="1F3A5F"/>
          <w:sz w:val="26"/>
        </w:rPr>
        <w:t>2.4 Estructura Organizacional (Organigrama)</w:t>
      </w:r>
    </w:p>
    <w:p>
      <w:pPr>
        <w:spacing w:after="120"/>
      </w:pPr>
      <w:r>
        <w:rPr>
          <w:b w:val="0"/>
          <w:i w:val="0"/>
        </w:rPr>
        <w:t xml:space="preserve">ManttoAI adopta una </w:t>
      </w:r>
      <w:r>
        <w:rPr>
          <w:b/>
          <w:i w:val="0"/>
        </w:rPr>
        <w:t>estructura plana de 3 socios</w:t>
      </w:r>
      <w:r>
        <w:rPr>
          <w:b w:val="0"/>
          <w:i w:val="0"/>
        </w:rPr>
        <w:t xml:space="preserve"> con dos proveedores de servicios externos (staff). Este organigrama es el más adecuado para una microempresa en etapa inicial en fase de validación: minimiza costos de planilla, concentra la toma de decisiones y mantiene la agilidad necesaria para iterar el producto rápidamente.</w:t>
      </w:r>
    </w:p>
    <w:p>
      <w:pPr>
        <w:spacing w:after="160"/>
        <w:ind w:left="283"/>
      </w:pPr>
      <w:r>
        <w:rPr>
          <w:rFonts w:ascii="Consolas" w:hAnsi="Consolas"/>
          <w:sz w:val="17"/>
        </w:rPr>
        <w:t xml:space="preserve">                    ┌─────────────────────────────┐</w:t>
        <w:br/>
        <w:t xml:space="preserve">                    │   DIRECTORIO (3 socios)      │</w:t>
        <w:br/>
        <w:t xml:space="preserve">                    │  Decisiones estratégicas      │</w:t>
        <w:br/>
        <w:t xml:space="preserve">                    └──────────────┬──────────────┘</w:t>
        <w:br/>
        <w:t xml:space="preserve">                                   │</w:t>
        <w:br/>
        <w:t xml:space="preserve">              ┌────────────────────┼────────────────────┐</w:t>
        <w:br/>
        <w:t xml:space="preserve">              │                    │                    │</w:t>
        <w:br/>
        <w:t xml:space="preserve">   ┌──────────▼──────────┐  ┌──────▼──────────┐  ┌────▼──────────────┐</w:t>
        <w:br/>
        <w:t xml:space="preserve">   │   CEO / Comercial   │  │  CTO / Backend  │  │  ML Engineer      │</w:t>
        <w:br/>
        <w:t xml:space="preserve">   │   Luis Loyola       │  │  Sebastián Bravo│  │  Ángel Rubilar    │</w:t>
        <w:br/>
        <w:t xml:space="preserve">   │ - Ventas y clientes │  │ - Infraestructura│  │ - Modelo ML       │</w:t>
        <w:br/>
        <w:t xml:space="preserve">   │ - Dashboard (React) │  │ - ESP32/MQTT    │  │ - Data pipeline   │</w:t>
        <w:br/>
        <w:t xml:space="preserve">   │ - Admin. SpA        │  │ - Digital Ocean │  │ - Alertas         │</w:t>
        <w:br/>
        <w:t xml:space="preserve">   └─────────┬───────────┘  └─────────────────┘  └───────────────────┘</w:t>
        <w:br/>
        <w:t xml:space="preserve">             │</w:t>
        <w:br/>
        <w:t xml:space="preserve">   ┌─────────┴──────────────────────────────────────────┐</w:t>
        <w:br/>
        <w:t xml:space="preserve">   │                  STAFF EXTERNO                      │</w:t>
        <w:br/>
        <w:t xml:space="preserve">   │  (Servicios profesionales — no son personal de planta) │</w:t>
        <w:br/>
        <w:t xml:space="preserve">   ├────────────────────────┬───────────────────────────┤</w:t>
        <w:br/>
        <w:t xml:space="preserve">   │  Contador Externo      │  Abogado Externo           │</w:t>
        <w:br/>
        <w:t xml:space="preserve">   │  (contadoresenlinea.cl)│  (por honorarios)          │</w:t>
        <w:br/>
        <w:t xml:space="preserve">   │  $80.000-$100.000/mes  │  $200.000-$300.000/mes     │</w:t>
        <w:br/>
        <w:t xml:space="preserve">   └────────────────────────┴───────────────────────────┘</w:t>
      </w:r>
    </w:p>
    <w:p>
      <w:pPr>
        <w:spacing w:after="120"/>
      </w:pPr>
      <w:r>
        <w:rPr>
          <w:b w:val="0"/>
          <w:i/>
        </w:rPr>
        <w:t>Figura 2. Organigrama ManttoAI — microempresa en etapa inicial Año 1 (elaboración propia).</w:t>
      </w:r>
    </w:p>
    <w:p>
      <w:pPr>
        <w:pStyle w:val="Heading3"/>
      </w:pPr>
      <w:r>
        <w:rPr>
          <w:color w:val="1F3A5F"/>
          <w:sz w:val="26"/>
        </w:rPr>
      </w:r>
      <w:r>
        <w:rPr>
          <w:b w:val="0"/>
          <w:i w:val="0"/>
          <w:color w:val="1F3A5F"/>
          <w:sz w:val="26"/>
        </w:rPr>
        <w:t>2.5 Análisis y Descripción de Cargos</w:t>
      </w:r>
    </w:p>
    <w:p>
      <w:pPr>
        <w:spacing w:after="120"/>
      </w:pPr>
      <w:r>
        <w:rPr>
          <w:b/>
          <w:i w:val="0"/>
        </w:rPr>
        <w:t>Cargos internos (socios fundadores)</w:t>
      </w:r>
    </w:p>
    <w:p>
      <w:pPr>
        <w:spacing w:after="120"/>
      </w:pPr>
      <w:r>
        <w:rPr>
          <w:b/>
          <w:i w:val="0"/>
        </w:rPr>
        <w:t>CEO / Comercial y Producto — Luis Loyola</w:t>
      </w:r>
    </w:p>
    <w:p>
      <w:pPr>
        <w:spacing w:after="120"/>
      </w:pPr>
      <w:r>
        <w:rPr>
          <w:b w:val="0"/>
          <w:i w:val="0"/>
        </w:rPr>
        <w:t>Es el representante legal de la SpA ante el SII, municipalidad e instituciones públicas. Responsable de la prospección de clientes, demostraciones del producto, coordinación con los asesores externos (contador y abogado), gestión administrativa de la sociedad y comunicación directa con clientes activos. En la fase inicial también desarrolla las campañas de marketing digital en redes sociales.</w:t>
      </w:r>
    </w:p>
    <w:p>
      <w:pPr>
        <w:spacing w:after="120"/>
      </w:pPr>
      <w:r>
        <w:rPr>
          <w:b/>
          <w:i w:val="0"/>
        </w:rPr>
        <w:t>CTO / Backend, IoT y DevOps — Sebastián Bravo</w:t>
      </w:r>
    </w:p>
    <w:p>
      <w:pPr>
        <w:spacing w:after="120"/>
      </w:pPr>
      <w:r>
        <w:rPr>
          <w:b w:val="0"/>
          <w:i w:val="0"/>
        </w:rPr>
        <w:t>Diseña e implementa el backend (FastAPI), configura el broker MQTT, programa el firmware de los ESP32 y administra la infraestructura en Digital Ocean. Responsable de la disponibilidad del sistema, la ciberseguridad operacional, el despliegue continuo (CI/CD) y el desarrollo del dashboard en React.</w:t>
      </w:r>
    </w:p>
    <w:p>
      <w:pPr>
        <w:spacing w:after="120"/>
      </w:pPr>
      <w:r>
        <w:rPr>
          <w:b/>
          <w:i w:val="0"/>
        </w:rPr>
        <w:t>ML Engineer / Datos — Ángel Rubilar</w:t>
      </w:r>
    </w:p>
    <w:p>
      <w:pPr>
        <w:spacing w:after="120"/>
      </w:pPr>
      <w:r>
        <w:rPr>
          <w:b w:val="0"/>
          <w:i w:val="0"/>
        </w:rPr>
        <w:t>Diseña, entrena y evalúa el modelo Random Forest de predicción. Gestiona el dataset de entrenamiento por rubro, mantiene el versionado del modelo, monitorea data drift y degradación del F1-Score en producción. Apoya a Sebastián en la integración del pipeline de inferencia con el backend.</w:t>
      </w:r>
    </w:p>
    <w:p>
      <w:pPr>
        <w:spacing w:after="120"/>
      </w:pPr>
      <w:r>
        <w:rPr>
          <w:b/>
          <w:i w:val="0"/>
        </w:rPr>
        <w:t>Staff externo (servicios profesionales — pago por honorarios)</w:t>
      </w:r>
    </w:p>
    <w:p>
      <w:pPr>
        <w:spacing w:after="120"/>
      </w:pPr>
      <w:r>
        <w:rPr>
          <w:b/>
          <w:i w:val="0"/>
        </w:rPr>
        <w:t>Contador externo — contadoresenlinea.cl</w:t>
      </w:r>
    </w:p>
    <w:p>
      <w:pPr>
        <w:spacing w:after="120"/>
      </w:pPr>
      <w:r>
        <w:rPr>
          <w:b w:val="0"/>
          <w:i w:val="0"/>
        </w:rPr>
        <w:t xml:space="preserve">Servicio de contabilidad online contratado para la gestión tributaria completa de la SpA. Funciones: declaración mensual de IVA (F29), declaración anual de Renta (F22), libros contables electrónicos, emisión y procesamiento de documentos tributarios electrónicos (DTE), asesoría tributaria por correo electrónico. Costo referencial: </w:t>
      </w:r>
      <w:r>
        <w:rPr>
          <w:b/>
          <w:i w:val="0"/>
        </w:rPr>
        <w:t>$80.000–$100.000 CLP mensual</w:t>
      </w:r>
      <w:r>
        <w:rPr>
          <w:b w:val="0"/>
          <w:i w:val="0"/>
        </w:rPr>
        <w:t xml:space="preserve"> según plan contratado (contadoresenlinea.cl, 2026).</w:t>
      </w:r>
    </w:p>
    <w:p>
      <w:pPr>
        <w:spacing w:after="120"/>
      </w:pPr>
      <w:r>
        <w:rPr>
          <w:b/>
          <w:i w:val="0"/>
        </w:rPr>
        <w:t>Abogado externo — pago por servicio</w:t>
      </w:r>
    </w:p>
    <w:p>
      <w:pPr>
        <w:spacing w:after="120"/>
      </w:pPr>
      <w:r>
        <w:rPr>
          <w:b w:val="0"/>
          <w:i w:val="0"/>
        </w:rPr>
        <w:t xml:space="preserve">Profesional legal contratado por servicio específico (no bajo contrato laboral). Funciones: constitución de la SpA, redacción del pacto de accionistas, contratos de servicio con clientes, términos de uso y política de privacidad, registro de marca en INAPI y asesoría sobre protección de datos personales (Ley N° 21.719). Costo referencial: </w:t>
      </w:r>
      <w:r>
        <w:rPr>
          <w:b/>
          <w:i w:val="0"/>
        </w:rPr>
        <w:t>$200.000–$300.000 CLP por servicio prestado</w:t>
      </w:r>
      <w:r>
        <w:rPr>
          <w:b w:val="0"/>
          <w:i w:val="0"/>
        </w:rPr>
        <w:t>, con una necesidad estimada de 2–3 servicios en el primer año.</w:t>
      </w:r>
    </w:p>
    <w:p>
      <w:pPr>
        <w:pStyle w:val="Heading3"/>
      </w:pPr>
      <w:r>
        <w:rPr>
          <w:color w:val="1F3A5F"/>
          <w:sz w:val="26"/>
        </w:rPr>
      </w:r>
      <w:r>
        <w:rPr>
          <w:b w:val="0"/>
          <w:i w:val="0"/>
          <w:color w:val="1F3A5F"/>
          <w:sz w:val="26"/>
        </w:rPr>
        <w:t>2.6 Perfil de los Cargos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Cargo</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Tipo</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Formación</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Habilidades clave</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CEO / Comercial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Socio fundador</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Ingeniería en Informática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Comunicación con clientes, React, gestión administrativa, ventas</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CTO / Backend e IoT</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Socio fundador</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Ingeniería en Informática</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FastAPI, Docker, MQTT, ESP32, Digital Ocean, ciberseguridad</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ML Engineer / Datos</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Socio fundador</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Ingeniería en Informática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Python, scikit-learn, pandas, ingeniería de features, monitoreo de modelos</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Contador externo</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Staff — honorarios</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Contador auditor titulado, registrado en SII</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F29, F22, libros electrónicos, IVA, Renta, DTE</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Abogado externo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Staff — pago por servicio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Abogado con experiencia en startups y tecnología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Derecho societario, propiedad industrial, datos personales</w:t>
            </w:r>
          </w:p>
        </w:tc>
      </w:tr>
    </w:tbl>
    <w:p/>
    <w:p>
      <w:pPr>
        <w:spacing w:after="120"/>
      </w:pPr>
      <w:r>
        <w:rPr>
          <w:b w:val="0"/>
          <w:i/>
        </w:rPr>
        <w:t>Tabla 6. Perfil de cargos — ManttoAI microempresa en etapa inicial (elaboración propia).</w:t>
      </w:r>
    </w:p>
    <w:p>
      <w:pPr>
        <w:pStyle w:val="Heading3"/>
      </w:pPr>
      <w:r>
        <w:rPr>
          <w:color w:val="1F3A5F"/>
          <w:sz w:val="26"/>
        </w:rPr>
      </w:r>
      <w:r>
        <w:rPr>
          <w:b w:val="0"/>
          <w:i w:val="0"/>
          <w:color w:val="1F3A5F"/>
          <w:sz w:val="26"/>
        </w:rPr>
        <w:t>2.7 Número de Personas por Área</w:t>
      </w:r>
    </w:p>
    <w:p>
      <w:pPr>
        <w:spacing w:after="120"/>
      </w:pPr>
      <w:r>
        <w:rPr>
          <w:b w:val="0"/>
          <w:i w:val="0"/>
        </w:rPr>
        <w:t xml:space="preserve">La dotación se mantiene en los </w:t>
      </w:r>
      <w:r>
        <w:rPr>
          <w:b/>
          <w:i w:val="0"/>
        </w:rPr>
        <w:t>3 socios fundadores durante los primeros 3 años</w:t>
      </w:r>
      <w:r>
        <w:rPr>
          <w:b w:val="0"/>
          <w:i w:val="0"/>
        </w:rPr>
        <w:t>, sin incorporación de personal adicional hasta que el flujo de caja lo justifique. La incorporación de un desarrollador adicional se proyecta para el Año 4, cuando la cartera supere los 25 clientes activos. El staff externo acompaña al equipo desde el inicio.</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Área</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Año 1</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Año 2</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Año 3</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Socios fundadores (CEO + CTO + ML)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Total dotación interna</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3</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3</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3</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Staff externo (Contador + Abogado)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w:t>
            </w:r>
          </w:p>
        </w:tc>
      </w:tr>
    </w:tbl>
    <w:p/>
    <w:p>
      <w:pPr>
        <w:spacing w:after="120"/>
      </w:pPr>
      <w:r>
        <w:rPr>
          <w:b w:val="0"/>
          <w:i/>
        </w:rPr>
        <w:t>Tabla 7. Dotación proyectada por año (elaboración propia, marco Ley N° 20.416).</w:t>
      </w:r>
    </w:p>
    <w:p>
      <w:pPr>
        <w:pStyle w:val="Heading3"/>
      </w:pPr>
      <w:r>
        <w:rPr>
          <w:color w:val="1F3A5F"/>
          <w:sz w:val="26"/>
        </w:rPr>
      </w:r>
      <w:r>
        <w:rPr>
          <w:b w:val="0"/>
          <w:i w:val="0"/>
          <w:color w:val="1F3A5F"/>
          <w:sz w:val="26"/>
        </w:rPr>
        <w:t>2.8 Tipo de Empresa (Constitución Legal)</w:t>
      </w:r>
    </w:p>
    <w:p>
      <w:pPr>
        <w:spacing w:after="120"/>
      </w:pPr>
      <w:r>
        <w:rPr>
          <w:b w:val="0"/>
          <w:i w:val="0"/>
        </w:rPr>
        <w:t xml:space="preserve">ManttoAI se constituye como </w:t>
      </w:r>
      <w:r>
        <w:rPr>
          <w:b/>
          <w:i w:val="0"/>
        </w:rPr>
        <w:t>Sociedad por Acciones (SpA)</w:t>
      </w:r>
      <w:r>
        <w:rPr>
          <w:b w:val="0"/>
          <w:i w:val="0"/>
        </w:rPr>
        <w:t xml:space="preserve"> bajo el artículo 424 del Código de Comercio (Ley N° 20.190 de 2007). Esta figura es la más adecuada por las siguientes razones:</w:t>
      </w:r>
    </w:p>
    <w:p>
      <w:pPr>
        <w:pStyle w:val="ListBullet"/>
        <w:spacing w:after="40"/>
      </w:pPr>
      <w:r>
        <w:rPr>
          <w:b w:val="0"/>
          <w:i w:val="0"/>
        </w:rPr>
        <w:t>Puede ser constituida por 1 o más personas y modificada fácilmente ante nuevos socios o inversionistas.</w:t>
      </w:r>
    </w:p>
    <w:p>
      <w:pPr>
        <w:pStyle w:val="ListBullet"/>
        <w:spacing w:after="40"/>
      </w:pPr>
      <w:r>
        <w:rPr>
          <w:b w:val="0"/>
          <w:i w:val="0"/>
        </w:rPr>
        <w:t>Limita la responsabilidad de los socios al monto de sus aportes, protegiendo el patrimonio personal de los socios.</w:t>
      </w:r>
    </w:p>
    <w:p>
      <w:pPr>
        <w:pStyle w:val="ListBullet"/>
        <w:spacing w:after="40"/>
      </w:pPr>
      <w:r>
        <w:rPr>
          <w:b w:val="0"/>
          <w:i w:val="0"/>
        </w:rPr>
        <w:t xml:space="preserve">Se constituye </w:t>
      </w:r>
      <w:r>
        <w:rPr>
          <w:b/>
          <w:i w:val="0"/>
        </w:rPr>
        <w:t>gratis y en línea</w:t>
      </w:r>
      <w:r>
        <w:rPr>
          <w:b w:val="0"/>
          <w:i w:val="0"/>
        </w:rPr>
        <w:t xml:space="preserve"> a través del portal </w:t>
      </w:r>
      <w:r>
        <w:rPr>
          <w:b w:val="0"/>
          <w:i/>
        </w:rPr>
        <w:t>Tu Empresa en un Día</w:t>
      </w:r>
      <w:r>
        <w:rPr>
          <w:b w:val="0"/>
          <w:i w:val="0"/>
        </w:rPr>
        <w:t xml:space="preserve"> (tuempresaenundia.cl) del Ministerio de Economía, sin costo notarial.</w:t>
      </w:r>
    </w:p>
    <w:p>
      <w:pPr>
        <w:pStyle w:val="ListBullet"/>
        <w:spacing w:after="40"/>
      </w:pPr>
      <w:r>
        <w:rPr>
          <w:b w:val="0"/>
          <w:i w:val="0"/>
        </w:rPr>
        <w:t>Permite emitir distintas clases de acciones para recibir inversión futura.</w:t>
      </w:r>
    </w:p>
    <w:p>
      <w:pPr>
        <w:spacing w:after="120"/>
      </w:pPr>
      <w:r>
        <w:rPr>
          <w:b/>
          <w:i w:val="0"/>
        </w:rPr>
        <w:t>Capital social inicial:</w:t>
      </w:r>
      <w:r>
        <w:rPr>
          <w:b w:val="0"/>
          <w:i w:val="0"/>
        </w:rPr>
        <w:t xml:space="preserve"> $3.000.000 CLP, aportado en partes iguales por los tres socios fundadores ($1.000.000 CLP cada uno).</w:t>
      </w:r>
    </w:p>
    <w:p>
      <w:pPr>
        <w:pStyle w:val="Heading3"/>
      </w:pPr>
      <w:r>
        <w:rPr>
          <w:color w:val="1F3A5F"/>
          <w:sz w:val="26"/>
        </w:rPr>
      </w:r>
      <w:r>
        <w:rPr>
          <w:b w:val="0"/>
          <w:i w:val="0"/>
          <w:color w:val="1F3A5F"/>
          <w:sz w:val="26"/>
        </w:rPr>
        <w:t>2.9 Requisitos para Operar</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Trámite</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Entidad</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Costo estimado</w:t>
            </w:r>
          </w:p>
        </w:tc>
        <w:tc>
          <w:tcPr>
            <w:tcW w:type="dxa" w:w="2351"/>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Plazo</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Constitución SpA</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Ministerio de Economía (tuempresaenundia.cl)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 día hábil</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Inicio de actividades (giro 6201)</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SII — homer.sii.cl</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$0</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Inmediato en línea</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Patente comercial municipal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Municipalidad del domicilio fiscal</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~$100.000–$150.000 CLP/año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30 días</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Registro marca ManttoAI (clase 42)</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INAPI</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~$108.000 CLP/clase</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12–18 meses</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Registro código fuente</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Derechos Intelectuales (SERPAT)</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Gratuito</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30 días</w:t>
            </w:r>
          </w:p>
        </w:tc>
      </w:tr>
      <w:tr>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Adhesión mutual Ley N° 16.744</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ACHS o Mutual de Seguridad</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Prima según cotización</w:t>
            </w:r>
          </w:p>
        </w:tc>
        <w:tc>
          <w:tcPr>
            <w:tcW w:type="dxa" w:w="2351"/>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Inmediato</w:t>
            </w:r>
          </w:p>
        </w:tc>
      </w:tr>
      <w:tr>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Registro tratamiento datos personales</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Agencia de Protección de Datos (Ley N°21.719)</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c>
          <w:tcPr>
            <w:tcW w:type="dxa" w:w="2351"/>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2026 en vigencia</w:t>
            </w:r>
          </w:p>
        </w:tc>
      </w:tr>
    </w:tbl>
    <w:p/>
    <w:p>
      <w:pPr>
        <w:spacing w:after="120"/>
      </w:pPr>
      <w:r>
        <w:rPr>
          <w:b w:val="0"/>
          <w:i/>
        </w:rPr>
        <w:t>Tabla 8. Requisitos para operar ManttoAI SpA (elaboración propia, 2026).</w:t>
      </w:r>
    </w:p>
    <w:p>
      <w:pPr>
        <w:pStyle w:val="Heading3"/>
      </w:pPr>
      <w:r>
        <w:rPr>
          <w:color w:val="1F3A5F"/>
          <w:sz w:val="26"/>
        </w:rPr>
      </w:r>
      <w:r>
        <w:rPr>
          <w:b w:val="0"/>
          <w:i w:val="0"/>
          <w:color w:val="1F3A5F"/>
          <w:sz w:val="26"/>
        </w:rPr>
        <w:t>2.10 Estructura de Remuneraciones</w:t>
      </w:r>
    </w:p>
    <w:p>
      <w:pPr>
        <w:spacing w:after="120"/>
      </w:pPr>
      <w:r>
        <w:rPr>
          <w:b w:val="0"/>
          <w:i w:val="0"/>
        </w:rPr>
        <w:t>El retiro de los socios fundadores está directamente vinculado al crecimiento de la cartera de clientes. En el Año 1 no se percibe retiro, ya que la empresa se encuentra en etapa de validación comercial y los ingresos aún no superan los costos operacionales fijos. A partir del Año 2, el retiro se ajusta trimestralmente según los ingresos recurrentes reales, con la proyección indicada en la tabla siguiente.</w:t>
      </w:r>
    </w:p>
    <w:p>
      <w:pPr>
        <w:spacing w:after="120"/>
      </w:pPr>
      <w:r>
        <w:rPr>
          <w:b/>
          <w:i w:val="0"/>
        </w:rPr>
        <w:t>Supuesto de cliente promedio:</w:t>
      </w:r>
      <w:r>
        <w:rPr>
          <w:b w:val="0"/>
          <w:i w:val="0"/>
        </w:rPr>
        <w:t xml:space="preserve"> una PYME que contrata 4 Kit Estándar (típicamente para monitorear 3–5 puntos críticos: compresores, transformadores, salas frías o equipos agrícolas). Esto representa un ingreso de </w:t>
      </w:r>
      <w:r>
        <w:rPr>
          <w:b/>
          <w:i w:val="0"/>
        </w:rPr>
        <w:t>$88.000/mes de suscripción recurrente</w:t>
      </w:r>
      <w:r>
        <w:rPr>
          <w:b w:val="0"/>
          <w:i w:val="0"/>
        </w:rPr>
        <w:t xml:space="preserve"> y </w:t>
      </w:r>
      <w:r>
        <w:rPr>
          <w:b/>
          <w:i w:val="0"/>
        </w:rPr>
        <w:t>$440.000 de instalación única</w:t>
      </w:r>
      <w:r>
        <w:rPr>
          <w:b w:val="0"/>
          <w:i w:val="0"/>
        </w:rPr>
        <w:t xml:space="preserve"> por cada cliente captado.</w:t>
      </w:r>
    </w:p>
    <w:p>
      <w:pPr>
        <w:spacing w:after="120"/>
      </w:pPr>
      <w:r>
        <w:rPr>
          <w:b/>
          <w:i w:val="0"/>
        </w:rPr>
        <w:t>Retiro proyectado por socio fundador según etapa:</w:t>
      </w:r>
    </w:p>
    <w:tbl>
      <w:tblPr>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Etapa</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Clientes activos al cierre</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Ingreso suscripción mensual al cierre</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Retiro bruto por socio</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Descuentos (~20%)</w:t>
            </w:r>
          </w:p>
        </w:tc>
        <w:tc>
          <w:tcPr>
            <w:tcW w:type="dxa" w:w="1568"/>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Retiro líquido por socio</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Año 1 (validación)</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 – 4 clientes</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 – $352.000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$0</w:t>
            </w:r>
          </w:p>
        </w:tc>
      </w:tr>
      <w:tr>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Año 2 (crecimiento)</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10 – 12 clientes</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$880.000 – $1.056.000</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$300.000</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$60.000</w:t>
            </w:r>
          </w:p>
        </w:tc>
        <w:tc>
          <w:tcPr>
            <w:tcW w:type="dxa" w:w="1568"/>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$240.000</w:t>
            </w:r>
          </w:p>
        </w:tc>
      </w:tr>
      <w:tr>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Año 3 (consolidación)</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20 – 22 clientes</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$1.760.000 – $1.936.000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$500.000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$100.000</w:t>
            </w:r>
          </w:p>
        </w:tc>
        <w:tc>
          <w:tcPr>
            <w:tcW w:type="dxa" w:w="1568"/>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$400.000</w:t>
            </w:r>
          </w:p>
        </w:tc>
      </w:tr>
    </w:tbl>
    <w:p/>
    <w:p>
      <w:pPr>
        <w:spacing w:after="120"/>
      </w:pPr>
      <w:r>
        <w:rPr>
          <w:b/>
          <w:i w:val="0"/>
        </w:rPr>
        <w:t>Costos de staff externo (fijos desde el inicio):</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Concepto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Modalidad</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Monto mensual (CLP)</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Contador externo (contadoresenlinea.cl)</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Honorarios mensuales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$89.000 (IVA incluido)</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Abogado externo</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Por servicio puntual (2–3 veces/año)</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$250.000 por ocasión</w:t>
            </w:r>
          </w:p>
        </w:tc>
      </w:tr>
    </w:tbl>
    <w:p/>
    <w:p>
      <w:pPr>
        <w:spacing w:after="120"/>
      </w:pPr>
      <w:r>
        <w:rPr>
          <w:b w:val="0"/>
          <w:i/>
        </w:rPr>
        <w:t>Tabla 9. Estructura de remuneraciones proyectada — ManttoAI (elaboración propia, Superintendencia de Pensiones 2026).</w:t>
      </w:r>
    </w:p>
    <w:p>
      <w:pPr>
        <w:spacing w:after="160"/>
        <w:ind w:left="567"/>
      </w:pPr>
      <w:r>
        <w:rPr>
          <w:b w:val="0"/>
          <w:i/>
          <w:color w:val="404040"/>
        </w:rPr>
        <w:t xml:space="preserve">El retiro del Año 2 ($300.000 bruto por socio = $900.000 total mensual) es viable considerando dos fuentes de ingreso: la suscripción recurrente (10 clientes × $88.000 = $880.000/mes) y la instalación de nuevos kits ($440.000 por cliente nuevo, equivalente a ~$293.000/mes adicionales si se captan 8 clientes nuevos en el año). Esto genera un ingreso promedio mensual de ~$1.173.000, que tras cubrir costos fijos ($187.100) y retiros ($900.000) deja ~$86.000/mes para reinversión, equivalente a una </w:t>
      </w:r>
      <w:r>
        <w:rPr>
          <w:b/>
          <w:i/>
          <w:color w:val="404040"/>
        </w:rPr>
        <w:t>utilidad anual de ~$1.034.800</w:t>
      </w:r>
      <w:r>
        <w:rPr>
          <w:b w:val="0"/>
          <w:i/>
          <w:color w:val="404040"/>
        </w:rPr>
        <w:t xml:space="preserve">. El Año 3 proyecta un retiro de $500.000 bruto por socio, sostenible con 17 clientes promedio activos durante el año, manteniendo una utilidad anual proyectada cercana a </w:t>
      </w:r>
      <w:r>
        <w:rPr>
          <w:b/>
          <w:i/>
          <w:color w:val="404040"/>
        </w:rPr>
        <w:t>~$1.952.000 CLP</w:t>
      </w:r>
      <w:r>
        <w:rPr>
          <w:b w:val="0"/>
          <w:i/>
          <w:color w:val="404040"/>
        </w:rPr>
        <w:t>.</w:t>
      </w:r>
    </w:p>
    <w:p>
      <w:pPr>
        <w:spacing w:after="120"/>
      </w:pPr>
      <w:r>
        <w:rPr>
          <w:b/>
          <w:i w:val="0"/>
        </w:rPr>
        <w:t>Costo mensual total operacional Año 1</w:t>
      </w:r>
      <w:r>
        <w:rPr>
          <w:b w:val="0"/>
          <w:i w:val="0"/>
        </w:rPr>
        <w:t xml:space="preserve"> (sin retiro socios):</w:t>
      </w:r>
    </w:p>
    <w:tbl>
      <w:tblPr>
        <w:tblW w:type="auto" w:w="0"/>
        <w:jc w:val="center"/>
        <w:tblLayout w:type="autofit"/>
        <w:tblLook w:firstColumn="1" w:firstRow="1" w:lastColumn="0" w:lastRow="0" w:noHBand="0" w:noVBand="1" w:val="04A0"/>
      </w:tblPr>
      <w:tblGrid>
        <w:gridCol w:w="4703"/>
        <w:gridCol w:w="4703"/>
      </w:tblGrid>
      <w:tr>
        <w:tc>
          <w:tcPr>
            <w:tcW w:type="dxa" w:w="4703"/>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Ítem</w:t>
            </w:r>
          </w:p>
        </w:tc>
        <w:tc>
          <w:tcPr>
            <w:tcW w:type="dxa" w:w="4703"/>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Monto mensual (CLP)</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Infraestructura Digital Ocean</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$25.600</w:t>
            </w:r>
          </w:p>
        </w:tc>
      </w:tr>
      <w:tr>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Contador externo (contadoresenlinea.cl)</w:t>
            </w:r>
          </w:p>
        </w:tc>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$89.000</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Abogado externo (prorrateado: 3 servicios/año ÷ 12)</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$62.500</w:t>
            </w:r>
          </w:p>
        </w:tc>
      </w:tr>
      <w:tr>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Domicilio comercial virtual (OficinVirtual.cl)</w:t>
            </w:r>
          </w:p>
        </w:tc>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$5.000</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Dominio y herramientas digitales</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$5.000</w:t>
            </w:r>
          </w:p>
        </w:tc>
      </w:tr>
      <w:tr>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Total mensual Año 1</w:t>
            </w:r>
          </w:p>
        </w:tc>
        <w:tc>
          <w:tcPr>
            <w:tcW w:type="dxa" w:w="4703"/>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i w:val="0"/>
                <w:sz w:val="20"/>
              </w:rPr>
              <w:t>$187.100</w:t>
            </w:r>
          </w:p>
        </w:tc>
      </w:tr>
      <w:tr>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Total anual Año 1</w:t>
            </w:r>
          </w:p>
        </w:tc>
        <w:tc>
          <w:tcPr>
            <w:tcW w:type="dxa" w:w="4703"/>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i w:val="0"/>
                <w:sz w:val="20"/>
              </w:rPr>
              <w:t>$2.245.200</w:t>
            </w:r>
          </w:p>
        </w:tc>
      </w:tr>
    </w:tbl>
    <w:p/>
    <w:p>
      <w:pPr>
        <w:spacing w:after="120"/>
      </w:pPr>
      <w:r>
        <w:rPr>
          <w:b w:val="0"/>
          <w:i/>
        </w:rPr>
        <w:t>Tabla 10. Costo operacional mensual Año 1 (elaboración propia).</w:t>
      </w:r>
    </w:p>
    <w:p>
      <w:pPr>
        <w:spacing w:after="160"/>
        <w:ind w:left="567"/>
      </w:pPr>
      <w:r>
        <w:rPr>
          <w:b w:val="0"/>
          <w:i/>
          <w:color w:val="404040"/>
        </w:rPr>
        <w:t xml:space="preserve">Con un capital inicial de $3.000.000 CLP y costos de $187.100/mes, el capital cubre aproximadamente </w:t>
      </w:r>
      <w:r>
        <w:rPr>
          <w:b/>
          <w:i/>
          <w:color w:val="404040"/>
        </w:rPr>
        <w:t>16 meses de operación sin ingresos</w:t>
      </w:r>
      <w:r>
        <w:rPr>
          <w:b w:val="0"/>
          <w:i/>
          <w:color w:val="404040"/>
        </w:rPr>
        <w:t>, dando holgura suficiente para validar el modelo comercial antes de depender de ingresos recurrentes.</w:t>
      </w:r>
    </w:p>
    <w:p>
      <w:pPr>
        <w:pStyle w:val="Heading3"/>
      </w:pPr>
      <w:r>
        <w:rPr>
          <w:color w:val="1F3A5F"/>
          <w:sz w:val="26"/>
        </w:rPr>
      </w:r>
      <w:r>
        <w:rPr>
          <w:b w:val="0"/>
          <w:i w:val="0"/>
          <w:color w:val="1F3A5F"/>
          <w:sz w:val="26"/>
        </w:rPr>
        <w:t>2.11 Beneficios Adicionales</w:t>
      </w:r>
    </w:p>
    <w:p>
      <w:pPr>
        <w:spacing w:after="120"/>
      </w:pPr>
      <w:r>
        <w:rPr>
          <w:b w:val="0"/>
          <w:i w:val="0"/>
        </w:rPr>
        <w:t>En la etapa inicial del proyecto, los beneficios se enfocan en el desarrollo profesional y la flexibilidad:</w:t>
      </w:r>
    </w:p>
    <w:p>
      <w:pPr>
        <w:pStyle w:val="ListBullet"/>
        <w:spacing w:after="40"/>
      </w:pPr>
      <w:r>
        <w:rPr>
          <w:b/>
          <w:i w:val="0"/>
        </w:rPr>
        <w:t>Horario flexible</w:t>
      </w:r>
      <w:r>
        <w:rPr>
          <w:b w:val="0"/>
          <w:i w:val="0"/>
        </w:rPr>
        <w:t>: los socios organizan su tiempo de trabajo de manera autónoma, sin horario fijo, priorizando los compromisos con clientes y los objetivos del proyecto.</w:t>
      </w:r>
    </w:p>
    <w:p>
      <w:pPr>
        <w:pStyle w:val="ListBullet"/>
        <w:spacing w:after="40"/>
      </w:pPr>
      <w:r>
        <w:rPr>
          <w:b/>
          <w:i w:val="0"/>
        </w:rPr>
        <w:t>Trabajo 100% remoto</w:t>
      </w:r>
      <w:r>
        <w:rPr>
          <w:b w:val="0"/>
          <w:i w:val="0"/>
        </w:rPr>
        <w:t>: no hay obligación de asistencia presencial.</w:t>
      </w:r>
    </w:p>
    <w:p>
      <w:pPr>
        <w:pStyle w:val="ListBullet"/>
        <w:spacing w:after="40"/>
      </w:pPr>
      <w:r>
        <w:rPr>
          <w:b/>
          <w:i w:val="0"/>
        </w:rPr>
        <w:t>Presupuesto de certificaciones</w:t>
      </w:r>
      <w:r>
        <w:rPr>
          <w:b w:val="0"/>
          <w:i w:val="0"/>
        </w:rPr>
        <w:t>: a partir del Año 2, se destinan $100.000 CLP anuales por socio para certificaciones técnicas (Digital Ocean, Python, AWS Academy).</w:t>
      </w:r>
    </w:p>
    <w:p>
      <w:pPr>
        <w:pStyle w:val="ListBullet"/>
        <w:spacing w:after="40"/>
      </w:pPr>
      <w:r>
        <w:rPr>
          <w:b/>
          <w:i w:val="0"/>
        </w:rPr>
        <w:t>Participación accionaria</w:t>
      </w:r>
      <w:r>
        <w:rPr>
          <w:b w:val="0"/>
          <w:i w:val="0"/>
        </w:rPr>
        <w:t>: los tres socios son accionistas de la SpA con participación igualitaria. Conforme avance el proyecto, se podrán emitir nuevas series de acciones bajo condiciones de vesting.</w:t>
      </w:r>
    </w:p>
    <w:p>
      <w:pPr>
        <w:pStyle w:val="ListBullet"/>
        <w:spacing w:after="40"/>
      </w:pPr>
      <w:r>
        <w:rPr>
          <w:b/>
          <w:i w:val="0"/>
        </w:rPr>
        <w:t>Equipamiento</w:t>
      </w:r>
      <w:r>
        <w:rPr>
          <w:b w:val="0"/>
          <w:i w:val="0"/>
        </w:rPr>
        <w:t>: la empresa proporciona los kits de sensores ESP32 para el desarrollo. Los socios aportan sus propios notebooks.</w:t>
      </w:r>
    </w:p>
    <w:p>
      <w:pPr>
        <w:pStyle w:val="ListBullet"/>
        <w:spacing w:after="40"/>
      </w:pPr>
      <w:r>
        <w:rPr>
          <w:b/>
          <w:i w:val="0"/>
        </w:rPr>
        <w:t>Autonomía en la gestión del tiempo</w:t>
      </w:r>
      <w:r>
        <w:rPr>
          <w:b w:val="0"/>
          <w:i w:val="0"/>
        </w:rPr>
        <w:t>: cada socio administra su agenda de forma independiente, con responsabilidad sobre los entregables y compromisos acordados por el equipo.</w:t>
      </w:r>
    </w:p>
    <w:p>
      <w:pPr>
        <w:pStyle w:val="Heading2"/>
      </w:pPr>
      <w:r>
        <w:rPr>
          <w:color w:val="1F3A5F"/>
          <w:sz w:val="32"/>
        </w:rPr>
      </w:r>
      <w:r>
        <w:rPr>
          <w:b w:val="0"/>
          <w:i w:val="0"/>
          <w:color w:val="1F3A5F"/>
          <w:sz w:val="32"/>
        </w:rPr>
        <w:t>3. Análisis Legal del Proyecto</w:t>
      </w:r>
    </w:p>
    <w:p>
      <w:pPr>
        <w:pStyle w:val="Heading3"/>
      </w:pPr>
      <w:r>
        <w:rPr>
          <w:color w:val="1F3A5F"/>
          <w:sz w:val="26"/>
        </w:rPr>
      </w:r>
      <w:r>
        <w:rPr>
          <w:b w:val="0"/>
          <w:i w:val="0"/>
          <w:color w:val="1F3A5F"/>
          <w:sz w:val="26"/>
        </w:rPr>
        <w:t>3.1 Normativa Aplicable</w:t>
      </w:r>
    </w:p>
    <w:p>
      <w:pPr>
        <w:spacing w:after="120"/>
      </w:pPr>
      <w:r>
        <w:rPr>
          <w:b w:val="0"/>
          <w:i w:val="0"/>
        </w:rPr>
        <w:t>ManttoAI opera en la intersección del derecho tecnológico, la protección de datos y las normas tributarias de microempresas. La normativa aplicable es:</w:t>
      </w:r>
    </w:p>
    <w:p>
      <w:pPr>
        <w:spacing w:after="120"/>
      </w:pPr>
      <w:r>
        <w:rPr>
          <w:b/>
          <w:i w:val="0"/>
        </w:rPr>
        <w:t>Nacional:</w:t>
      </w:r>
    </w:p>
    <w:p>
      <w:pPr>
        <w:pStyle w:val="ListBullet"/>
        <w:spacing w:after="40"/>
      </w:pPr>
      <w:r>
        <w:rPr>
          <w:b/>
          <w:i w:val="0"/>
        </w:rPr>
        <w:t>Ley N° 19.628</w:t>
      </w:r>
      <w:r>
        <w:rPr>
          <w:b w:val="0"/>
          <w:i w:val="0"/>
        </w:rPr>
        <w:t xml:space="preserve"> (1999): Protección de la Vida Privada. Regula el tratamiento de datos personales de los clientes.</w:t>
      </w:r>
    </w:p>
    <w:p>
      <w:pPr>
        <w:pStyle w:val="ListBullet"/>
        <w:spacing w:after="40"/>
      </w:pPr>
      <w:r>
        <w:rPr>
          <w:b/>
          <w:i w:val="0"/>
        </w:rPr>
        <w:t>Ley N° 21.719</w:t>
      </w:r>
      <w:r>
        <w:rPr>
          <w:b w:val="0"/>
          <w:i w:val="0"/>
        </w:rPr>
        <w:t xml:space="preserve"> (2024, vigencia 2026): Moderniza la protección de datos personales y crea la Agencia de Protección de Datos. ManttoAI debe registrarse como responsable de tratamiento.</w:t>
      </w:r>
    </w:p>
    <w:p>
      <w:pPr>
        <w:pStyle w:val="ListBullet"/>
        <w:spacing w:after="40"/>
      </w:pPr>
      <w:r>
        <w:rPr>
          <w:b/>
          <w:i w:val="0"/>
        </w:rPr>
        <w:t>Ley N° 21.663</w:t>
      </w:r>
      <w:r>
        <w:rPr>
          <w:b w:val="0"/>
          <w:i w:val="0"/>
        </w:rPr>
        <w:t xml:space="preserve"> (2024): Marco de Ciberseguridad e Infraestructura Crítica. Aplica si se atienden clientes de sectores críticos.</w:t>
      </w:r>
    </w:p>
    <w:p>
      <w:pPr>
        <w:pStyle w:val="ListBullet"/>
        <w:spacing w:after="40"/>
      </w:pPr>
      <w:r>
        <w:rPr>
          <w:b/>
          <w:i w:val="0"/>
        </w:rPr>
        <w:t>Ley N° 20.190</w:t>
      </w:r>
      <w:r>
        <w:rPr>
          <w:b w:val="0"/>
          <w:i w:val="0"/>
        </w:rPr>
        <w:t xml:space="preserve"> (2007): Regula la Sociedad por Acciones (SpA), figura jurídica adoptada.</w:t>
      </w:r>
    </w:p>
    <w:p>
      <w:pPr>
        <w:pStyle w:val="ListBullet"/>
        <w:spacing w:after="40"/>
      </w:pPr>
      <w:r>
        <w:rPr>
          <w:b/>
          <w:i w:val="0"/>
        </w:rPr>
        <w:t>Ley N° 20.416</w:t>
      </w:r>
      <w:r>
        <w:rPr>
          <w:b w:val="0"/>
          <w:i w:val="0"/>
        </w:rPr>
        <w:t xml:space="preserve"> (2010): Estatuto PYME. Clasifica a ManttoAI como microempresa (ventas &lt; UF 2.400/año) y define las normas simplificadas que la rigen.</w:t>
      </w:r>
    </w:p>
    <w:p>
      <w:pPr>
        <w:pStyle w:val="ListBullet"/>
        <w:spacing w:after="40"/>
      </w:pPr>
      <w:r>
        <w:rPr>
          <w:b/>
          <w:i w:val="0"/>
        </w:rPr>
        <w:t>Ley N° 19.039</w:t>
      </w:r>
      <w:r>
        <w:rPr>
          <w:b w:val="0"/>
          <w:i w:val="0"/>
        </w:rPr>
        <w:t>: Propiedad Industrial. Protege la marca ManttoAI registrada en INAPI.</w:t>
      </w:r>
    </w:p>
    <w:p>
      <w:pPr>
        <w:pStyle w:val="ListBullet"/>
        <w:spacing w:after="40"/>
      </w:pPr>
      <w:r>
        <w:rPr>
          <w:b/>
          <w:i w:val="0"/>
        </w:rPr>
        <w:t>Ley N° 17.336</w:t>
      </w:r>
      <w:r>
        <w:rPr>
          <w:b w:val="0"/>
          <w:i w:val="0"/>
        </w:rPr>
        <w:t>: Propiedad Intelectual. Protege el código fuente de la plataforma.</w:t>
      </w:r>
    </w:p>
    <w:p>
      <w:pPr>
        <w:pStyle w:val="ListBullet"/>
        <w:spacing w:after="40"/>
      </w:pPr>
      <w:r>
        <w:rPr>
          <w:b/>
          <w:i w:val="0"/>
        </w:rPr>
        <w:t>DFL N° 1 (2002)</w:t>
      </w:r>
      <w:r>
        <w:rPr>
          <w:b w:val="0"/>
          <w:i w:val="0"/>
        </w:rPr>
        <w:t xml:space="preserve"> — Código del Trabajo: regula contratos y relaciones laborales cuando corresponda.</w:t>
      </w:r>
    </w:p>
    <w:p>
      <w:pPr>
        <w:pStyle w:val="ListBullet"/>
        <w:spacing w:after="40"/>
      </w:pPr>
      <w:r>
        <w:rPr>
          <w:b/>
          <w:i w:val="0"/>
        </w:rPr>
        <w:t>DL N° 824</w:t>
      </w:r>
      <w:r>
        <w:rPr>
          <w:b w:val="0"/>
          <w:i w:val="0"/>
        </w:rPr>
        <w:t xml:space="preserve"> (1974) — Ley sobre Impuesto a la Renta y </w:t>
      </w:r>
      <w:r>
        <w:rPr>
          <w:b/>
          <w:i w:val="0"/>
        </w:rPr>
        <w:t>DL N° 825</w:t>
      </w:r>
      <w:r>
        <w:rPr>
          <w:b w:val="0"/>
          <w:i w:val="0"/>
        </w:rPr>
        <w:t xml:space="preserve"> (1974) — Ley sobre Impuesto a las Ventas y Servicios (IVA): regulan las obligaciones tributarias de la SpA.</w:t>
      </w:r>
    </w:p>
    <w:p>
      <w:pPr>
        <w:spacing w:after="120"/>
      </w:pPr>
      <w:r>
        <w:rPr>
          <w:b/>
          <w:i w:val="0"/>
        </w:rPr>
        <w:t>Regional y local:</w:t>
      </w:r>
    </w:p>
    <w:p>
      <w:pPr>
        <w:pStyle w:val="ListBullet"/>
        <w:spacing w:after="40"/>
      </w:pPr>
      <w:r>
        <w:rPr>
          <w:b w:val="0"/>
          <w:i w:val="0"/>
        </w:rPr>
        <w:t>Ordenanzas municipales de Temuco para la patente comercial.</w:t>
      </w:r>
    </w:p>
    <w:p>
      <w:pPr>
        <w:pStyle w:val="ListBullet"/>
        <w:spacing w:after="40"/>
      </w:pPr>
      <w:r>
        <w:rPr>
          <w:b w:val="0"/>
          <w:i w:val="0"/>
        </w:rPr>
        <w:t>Normativa de la Municipalidad de Temuco sobre domicilio comercial.</w:t>
      </w:r>
    </w:p>
    <w:p>
      <w:pPr>
        <w:spacing w:after="120"/>
      </w:pPr>
      <w:r>
        <w:rPr>
          <w:b/>
          <w:i w:val="0"/>
        </w:rPr>
        <w:t>Sectorial (referencial):</w:t>
      </w:r>
    </w:p>
    <w:p>
      <w:pPr>
        <w:pStyle w:val="ListBullet"/>
        <w:spacing w:after="40"/>
      </w:pPr>
      <w:r>
        <w:rPr>
          <w:b w:val="0"/>
          <w:i w:val="0"/>
        </w:rPr>
        <w:t>Norma NCh-ISO 55001 (gestión de activos): referencia para la propuesta de valor del producto, aunque no es de cumplimiento obligatorio para la empresa.</w:t>
      </w:r>
    </w:p>
    <w:p>
      <w:pPr>
        <w:pStyle w:val="Heading3"/>
      </w:pPr>
      <w:r>
        <w:rPr>
          <w:color w:val="1F3A5F"/>
          <w:sz w:val="26"/>
        </w:rPr>
      </w:r>
      <w:r>
        <w:rPr>
          <w:b w:val="0"/>
          <w:i w:val="0"/>
          <w:color w:val="1F3A5F"/>
          <w:sz w:val="26"/>
        </w:rPr>
        <w:t>3.2 Permisos y Autorizaciones Necesarias</w:t>
      </w:r>
    </w:p>
    <w:p>
      <w:pPr>
        <w:pStyle w:val="ListNumber"/>
        <w:spacing w:after="40"/>
      </w:pPr>
      <w:r>
        <w:rPr>
          <w:b/>
          <w:i w:val="0"/>
        </w:rPr>
        <w:t>Inicio de actividades en el SII</w:t>
      </w:r>
      <w:r>
        <w:rPr>
          <w:b w:val="0"/>
          <w:i w:val="0"/>
        </w:rPr>
        <w:t>: declaración del giro 6201 "Actividades de programación informática", obtención de RUT empresa y timbraje de documentos tributarios electrónicos. Trámite gratuito en línea en sii.cl (simulador Homer disponible en homer.sii.cl).</w:t>
      </w:r>
    </w:p>
    <w:p>
      <w:pPr>
        <w:pStyle w:val="ListNumber"/>
        <w:spacing w:after="40"/>
      </w:pPr>
      <w:r>
        <w:rPr>
          <w:b/>
          <w:i w:val="0"/>
        </w:rPr>
        <w:t>Patente comercial municipal</w:t>
      </w:r>
      <w:r>
        <w:rPr>
          <w:b w:val="0"/>
          <w:i w:val="0"/>
        </w:rPr>
        <w:t>: en la municipalidad del domicilio fiscal del representante legal. Renovación semestral. Costo estimado: $100.000–$150.000 CLP/año según el capital propio tributario declarado.</w:t>
      </w:r>
    </w:p>
    <w:p>
      <w:pPr>
        <w:pStyle w:val="ListNumber"/>
        <w:spacing w:after="40"/>
      </w:pPr>
      <w:r>
        <w:rPr>
          <w:b/>
          <w:i w:val="0"/>
        </w:rPr>
        <w:t>Registro de marca ManttoAI en INAPI clase 42</w:t>
      </w:r>
      <w:r>
        <w:rPr>
          <w:b w:val="0"/>
          <w:i w:val="0"/>
        </w:rPr>
        <w:t xml:space="preserve"> (servicios tecnológicos): costo aproximado $108.000 CLP, vigencia renovable cada 10 años.</w:t>
      </w:r>
    </w:p>
    <w:p>
      <w:pPr>
        <w:pStyle w:val="ListNumber"/>
        <w:spacing w:after="40"/>
      </w:pPr>
      <w:r>
        <w:rPr>
          <w:b/>
          <w:i w:val="0"/>
        </w:rPr>
        <w:t>Registro del código fuente</w:t>
      </w:r>
      <w:r>
        <w:rPr>
          <w:b w:val="0"/>
          <w:i w:val="0"/>
        </w:rPr>
        <w:t>: en el Departamento de Derechos Intelectuales (SERPAT), gratuito, protege el software como obra intelectual.</w:t>
      </w:r>
    </w:p>
    <w:p>
      <w:pPr>
        <w:pStyle w:val="ListNumber"/>
        <w:spacing w:after="40"/>
      </w:pPr>
      <w:r>
        <w:rPr>
          <w:b/>
          <w:i w:val="0"/>
        </w:rPr>
        <w:t>Registro como responsable de tratamiento de datos</w:t>
      </w:r>
      <w:r>
        <w:rPr>
          <w:b w:val="0"/>
          <w:i w:val="0"/>
        </w:rPr>
        <w:t>: ante la Agencia de Protección de Datos Personales conforme a la Ley N° 21.719 (en vigencia desde 2026).</w:t>
      </w:r>
    </w:p>
    <w:p>
      <w:pPr>
        <w:pStyle w:val="ListNumber"/>
        <w:spacing w:after="40"/>
      </w:pPr>
      <w:r>
        <w:rPr>
          <w:b/>
          <w:i w:val="0"/>
        </w:rPr>
        <w:t>Adhesión a mutual de seguridad (Ley N° 16.744)</w:t>
      </w:r>
      <w:r>
        <w:rPr>
          <w:b w:val="0"/>
          <w:i w:val="0"/>
        </w:rPr>
        <w:t>: ACHS o Mutual de Seguridad para cumplir la normativa de accidentes del trabajo.</w:t>
      </w:r>
    </w:p>
    <w:p>
      <w:pPr>
        <w:pStyle w:val="Heading3"/>
      </w:pPr>
      <w:r>
        <w:rPr>
          <w:color w:val="1F3A5F"/>
          <w:sz w:val="26"/>
        </w:rPr>
      </w:r>
      <w:r>
        <w:rPr>
          <w:b w:val="0"/>
          <w:i w:val="0"/>
          <w:color w:val="1F3A5F"/>
          <w:sz w:val="26"/>
        </w:rPr>
        <w:t>3.3 Responsabilidad Legal</w:t>
      </w:r>
    </w:p>
    <w:p>
      <w:pPr>
        <w:spacing w:after="120"/>
      </w:pPr>
      <w:r>
        <w:rPr>
          <w:b/>
          <w:i w:val="0"/>
        </w:rPr>
        <w:t>Responsabilidad societaria:</w:t>
      </w:r>
      <w:r>
        <w:rPr>
          <w:b w:val="0"/>
          <w:i w:val="0"/>
        </w:rPr>
        <w:t xml:space="preserve"> el directorio (los tres socios) responde por las decisiones estratégicas. Los socios responden hasta el monto de sus aportes ($1.000.000 CLP cada uno), resguardando su patrimonio personal. Se mitiga con un pacto de accionistas firmado al momento de la constitución.</w:t>
      </w:r>
    </w:p>
    <w:p>
      <w:pPr>
        <w:spacing w:after="120"/>
      </w:pPr>
      <w:r>
        <w:rPr>
          <w:b/>
          <w:i w:val="0"/>
        </w:rPr>
        <w:t>Responsabilidad por datos personales:</w:t>
      </w:r>
      <w:r>
        <w:rPr>
          <w:b w:val="0"/>
          <w:i w:val="0"/>
        </w:rPr>
        <w:t xml:space="preserve"> ManttoAI trata datos de operación industrial de sus clientes. La empresa es responsable del tratamiento ante la Ley N° 19.628 y la Ley N° 21.719. Se mitiga con: política de privacidad pública, contratos de tratamiento de datos con cada cliente (DPA), cifrado de datos en tránsito (TLS) y en reposo, y un protocolo de notificación de brechas dentro de las 72 horas exigidas por la ley.</w:t>
      </w:r>
    </w:p>
    <w:p>
      <w:pPr>
        <w:spacing w:after="120"/>
      </w:pPr>
      <w:r>
        <w:rPr>
          <w:b/>
          <w:i w:val="0"/>
        </w:rPr>
        <w:t>Responsabilidad por el producto:</w:t>
      </w:r>
      <w:r>
        <w:rPr>
          <w:b w:val="0"/>
          <w:i w:val="0"/>
        </w:rPr>
        <w:t xml:space="preserve"> ManttoAI entrega un servicio de soporte a la decisión, no reemplaza al técnico de mantención. Los Términos de Servicio establecen explícitamente que la empresa no garantiza la prevención absoluta de fallas. Se mitiga con cláusulas de limitación de responsabilidad redactadas por el abogado externo.</w:t>
      </w:r>
    </w:p>
    <w:p>
      <w:pPr>
        <w:spacing w:after="120"/>
      </w:pPr>
      <w:r>
        <w:rPr>
          <w:b/>
          <w:i w:val="0"/>
        </w:rPr>
        <w:t>Responsabilidad tributaria:</w:t>
      </w:r>
      <w:r>
        <w:rPr>
          <w:b w:val="0"/>
          <w:i w:val="0"/>
        </w:rPr>
        <w:t xml:space="preserve"> el representante legal (CEO) responde por la veracidad de las declaraciones ante el SII. Se mitiga con la contratación del servicio de contabilidad externo (contadoresenlinea.cl) que gestiona todas las obligaciones tributarias.</w:t>
      </w:r>
    </w:p>
    <w:p>
      <w:pPr>
        <w:pStyle w:val="Heading2"/>
      </w:pPr>
      <w:r>
        <w:rPr>
          <w:color w:val="1F3A5F"/>
          <w:sz w:val="32"/>
        </w:rPr>
      </w:r>
      <w:r>
        <w:rPr>
          <w:b w:val="0"/>
          <w:i w:val="0"/>
          <w:color w:val="1F3A5F"/>
          <w:sz w:val="32"/>
        </w:rPr>
        <w:t>4. Análisis del Impacto Ambiental</w:t>
      </w:r>
    </w:p>
    <w:p>
      <w:pPr>
        <w:pStyle w:val="Heading3"/>
      </w:pPr>
      <w:r>
        <w:rPr>
          <w:color w:val="1F3A5F"/>
          <w:sz w:val="26"/>
        </w:rPr>
      </w:r>
      <w:r>
        <w:rPr>
          <w:b w:val="0"/>
          <w:i w:val="0"/>
          <w:color w:val="1F3A5F"/>
          <w:sz w:val="26"/>
        </w:rPr>
        <w:t>4.1 Objetivos del Proyecto en el Contexto Ambiental</w:t>
      </w:r>
    </w:p>
    <w:p>
      <w:pPr>
        <w:spacing w:after="120"/>
      </w:pPr>
      <w:r>
        <w:rPr>
          <w:b w:val="0"/>
          <w:i w:val="0"/>
        </w:rPr>
        <w:t>ManttoAI tiene como objetivo comercial entregar monitoreo accesible a las PYMEs chilenas, pero su impacto ambiental indirecto es igualmente relevante: al anticipar fallas en maquinaria, equipos agrícolas e instalaciones, contribuye a extender su vida útil, reducir el consumo energético de equipos deteriorados y prevenir eventos contaminantes (derrames, emisiones, fugas).</w:t>
      </w:r>
    </w:p>
    <w:p>
      <w:pPr>
        <w:spacing w:after="120"/>
      </w:pPr>
      <w:r>
        <w:rPr>
          <w:b w:val="0"/>
          <w:i w:val="0"/>
        </w:rPr>
        <w:t>El contexto regulatorio en Chile está evolucionando hacia mayores exigencias ambientales para las industrias, en línea con la Contribución Determinada a Nivel Nacional (NDC) de Chile y los compromisos del Acuerdo de París. ManttoAI se posiciona en ese contexto como una herramienta de eficiencia productiva con co-beneficios ambientales.</w:t>
      </w:r>
    </w:p>
    <w:p>
      <w:pPr>
        <w:pStyle w:val="Heading3"/>
      </w:pPr>
      <w:r>
        <w:rPr>
          <w:color w:val="1F3A5F"/>
          <w:sz w:val="26"/>
        </w:rPr>
      </w:r>
      <w:r>
        <w:rPr>
          <w:b w:val="0"/>
          <w:i w:val="0"/>
          <w:color w:val="1F3A5F"/>
          <w:sz w:val="26"/>
        </w:rPr>
        <w:t>4.2 Identificación de Impactos Ambientales</w:t>
      </w:r>
    </w:p>
    <w:p>
      <w:pPr>
        <w:spacing w:after="120"/>
      </w:pPr>
      <w:r>
        <w:rPr>
          <w:b/>
          <w:i w:val="0"/>
        </w:rPr>
        <w:t>Preguntas guía:</w:t>
      </w:r>
    </w:p>
    <w:p>
      <w:pPr>
        <w:spacing w:after="120"/>
      </w:pPr>
      <w:r>
        <w:rPr>
          <w:b/>
          <w:i w:val="0"/>
        </w:rPr>
        <w:t>¿El proyecto implicará la eliminación de hábitats naturales?</w:t>
      </w:r>
    </w:p>
    <w:p>
      <w:pPr>
        <w:spacing w:after="120"/>
      </w:pPr>
      <w:r>
        <w:rPr>
          <w:b w:val="0"/>
          <w:i w:val="0"/>
        </w:rPr>
        <w:t>No. ManttoAI opera exclusivamente en infraestructura digital (servidores en la nube) y en instalaciones ya existentes de los clientes. No requiere construcción de obra nueva ni intervención de terrenos.</w:t>
      </w:r>
    </w:p>
    <w:p>
      <w:pPr>
        <w:spacing w:after="120"/>
      </w:pPr>
      <w:r>
        <w:rPr>
          <w:b/>
          <w:i w:val="0"/>
        </w:rPr>
        <w:t>¿Se espera que el proyecto genere residuos o emisiones?</w:t>
      </w:r>
    </w:p>
    <w:p>
      <w:pPr>
        <w:spacing w:after="120"/>
      </w:pPr>
      <w:r>
        <w:rPr>
          <w:b w:val="0"/>
          <w:i w:val="0"/>
        </w:rPr>
        <w:t>De manera indirecta, sí:</w:t>
      </w:r>
    </w:p>
    <w:p>
      <w:pPr>
        <w:pStyle w:val="ListBullet"/>
        <w:spacing w:after="40"/>
      </w:pPr>
      <w:r>
        <w:rPr>
          <w:b w:val="0"/>
          <w:i w:val="0"/>
        </w:rPr>
        <w:t>El consumo eléctrico de los servidores de Digital Ocean (región São Paulo, Brasil, con matriz mayoritariamente hidroeléctrica y renovable) genera emisiones Scope 2 mínimas.</w:t>
      </w:r>
    </w:p>
    <w:p>
      <w:pPr>
        <w:pStyle w:val="ListBullet"/>
        <w:spacing w:after="40"/>
      </w:pPr>
      <w:r>
        <w:rPr>
          <w:b w:val="0"/>
          <w:i w:val="0"/>
        </w:rPr>
        <w:t>Los sensores ESP32 tienen una vida útil de 3–5 años. Al final de su ciclo, constituyen residuos electrónicos (e-waste) que contienen metales y plásticos.</w:t>
      </w:r>
    </w:p>
    <w:p>
      <w:pPr>
        <w:spacing w:after="120"/>
      </w:pPr>
      <w:r>
        <w:rPr>
          <w:b/>
          <w:i w:val="0"/>
        </w:rPr>
        <w:t>¿Se espera que el proyecto tenga un impacto en la calidad del aire, agua o suelo?</w:t>
      </w:r>
    </w:p>
    <w:p>
      <w:pPr>
        <w:spacing w:after="120"/>
      </w:pPr>
      <w:r>
        <w:rPr>
          <w:b w:val="0"/>
          <w:i w:val="0"/>
        </w:rPr>
        <w:t>De manera directa, no. De manera indirecta, el proyecto contribuye positivamente:</w:t>
      </w:r>
    </w:p>
    <w:p>
      <w:pPr>
        <w:pStyle w:val="ListBullet"/>
        <w:spacing w:after="40"/>
      </w:pPr>
      <w:r>
        <w:rPr>
          <w:b w:val="0"/>
          <w:i w:val="0"/>
        </w:rPr>
        <w:t>En el rubro industrial: detecta fallas antes de que generen derrames de aceite hidráulico o fugas de refrigerantes.</w:t>
      </w:r>
    </w:p>
    <w:p>
      <w:pPr>
        <w:pStyle w:val="ListBullet"/>
        <w:spacing w:after="40"/>
      </w:pPr>
      <w:r>
        <w:rPr>
          <w:b w:val="0"/>
          <w:i w:val="0"/>
        </w:rPr>
        <w:t>En el rubro agrícola: optimiza el riego, reduciendo el uso de agua y fertilizantes.</w:t>
      </w:r>
    </w:p>
    <w:p>
      <w:pPr>
        <w:pStyle w:val="ListBullet"/>
        <w:spacing w:after="40"/>
      </w:pPr>
      <w:r>
        <w:rPr>
          <w:b w:val="0"/>
          <w:i w:val="0"/>
        </w:rPr>
        <w:t>En el rubro comercial: detecta fugas y condiciones anómalas antes de que causen daño ambiental.</w:t>
      </w:r>
    </w:p>
    <w:p>
      <w:pPr>
        <w:spacing w:after="120"/>
      </w:pPr>
      <w:r>
        <w:rPr>
          <w:b/>
          <w:i w:val="0"/>
        </w:rPr>
        <w:t>Impactos negativos identificados: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Impacto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Magnitud</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Consumo energético de servidores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Baja</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Digital Ocean São Paulo usa matriz mayoritariamente renovable</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Residuos electrónicos (ESP32, sensores)</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Baja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3–5 kits/año en fase inicial; gestión mediante programa RAEE</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Consumo energético del reentrenamiento ML</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Muy baja</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Random Forest es eficiente; entrenamiento mensual breve</w:t>
            </w:r>
          </w:p>
        </w:tc>
      </w:tr>
    </w:tbl>
    <w:p/>
    <w:p>
      <w:pPr>
        <w:spacing w:after="120"/>
      </w:pPr>
      <w:r>
        <w:rPr>
          <w:b/>
          <w:i w:val="0"/>
        </w:rPr>
        <w:t>Impactos positivos esperados: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Impacto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Magnitud</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Descripción</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Prevención de derrames y fugas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Media</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Monitoreo detecta anomalías antes del evento contaminante</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Eficiencia hídrica agrícola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Media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Optimización del riego reduce consumo de agua</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Extensión vida útil de equipos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Alta</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Mantenimiento oportuno reduce frecuencia de reemplazo</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Eficiencia energética industrial</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Media</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Equipos en buen estado consumen menos energía</w:t>
            </w:r>
          </w:p>
        </w:tc>
      </w:tr>
    </w:tbl>
    <w:p/>
    <w:p>
      <w:pPr>
        <w:pStyle w:val="Heading3"/>
      </w:pPr>
      <w:r>
        <w:rPr>
          <w:color w:val="1F3A5F"/>
          <w:sz w:val="26"/>
        </w:rPr>
      </w:r>
      <w:r>
        <w:rPr>
          <w:b w:val="0"/>
          <w:i w:val="0"/>
          <w:color w:val="1F3A5F"/>
          <w:sz w:val="26"/>
        </w:rPr>
        <w:t>4.3 Conclusiones Ambientales, Medidas y Marco Regulatorio</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Impacto negativo</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Medida preventiva / mitigadora</w:t>
            </w:r>
          </w:p>
        </w:tc>
        <w:tc>
          <w:tcPr>
            <w:tcW w:type="dxa" w:w="3135"/>
            <w:shd w:val="clear" w:color="auto" w:fill="1F3A5F"/>
            <w:tcBorders>
              <w:top w:val="single" w:sz="6" w:space="0" w:color="808080"/>
              <w:left w:val="single" w:sz="6" w:space="0" w:color="808080"/>
              <w:bottom w:val="single" w:sz="6" w:space="0" w:color="808080"/>
              <w:right w:val="single" w:sz="6" w:space="0" w:color="808080"/>
            </w:tcBorders>
          </w:tcPr>
          <w:p>
            <w:pPr>
              <w:jc w:val="center"/>
            </w:pPr>
            <w:r>
              <w:rPr>
                <w:b/>
                <w:color w:val="FFFFFF"/>
                <w:sz w:val="20"/>
              </w:rPr>
            </w:r>
            <w:r>
              <w:rPr>
                <w:b/>
                <w:i w:val="0"/>
                <w:color w:val="FFFFFF"/>
                <w:sz w:val="20"/>
              </w:rPr>
              <w:t>Regulación aplicable</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Consumo energético servidores</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Selección de Digital Ocean São Paulo (matriz renovable). Apagar instancias de desarrollo fuera de horario.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Acuerdo de París; NDC Chile 2030; Ley N° 21.455 Marco de Cambio Climático</w:t>
            </w:r>
          </w:p>
        </w:tc>
      </w:tr>
      <w:tr>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Residuos electrónicos (e-waste)</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Programa de recuperación de sensores al fin de vida útil. Convenio con gestor autorizado de RAEE en Chile.</w:t>
            </w:r>
          </w:p>
        </w:tc>
        <w:tc>
          <w:tcPr>
            <w:tcW w:type="dxa" w:w="3135"/>
            <w:tcBorders>
              <w:top w:val="single" w:sz="6" w:space="0" w:color="808080"/>
              <w:left w:val="single" w:sz="6" w:space="0" w:color="808080"/>
              <w:bottom w:val="single" w:sz="6" w:space="0" w:color="808080"/>
              <w:right w:val="single" w:sz="6" w:space="0" w:color="808080"/>
            </w:tcBorders>
            <w:vAlign w:val="center"/>
            <w:shd w:val="clear" w:color="auto" w:fill="F2F2F2"/>
          </w:tcPr>
          <w:p>
            <w:pPr>
              <w:spacing w:after="0"/>
            </w:pPr>
            <w:r>
              <w:rPr>
                <w:sz w:val="20"/>
              </w:rPr>
            </w:r>
            <w:r>
              <w:rPr>
                <w:b w:val="0"/>
                <w:i w:val="0"/>
                <w:sz w:val="20"/>
              </w:rPr>
              <w:t>Ley N° 20.920 (REP); D.S. N° 8/2021 sobre RAEE</w:t>
            </w:r>
          </w:p>
        </w:tc>
      </w:tr>
      <w:tr>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Consumo ML</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Entrenamiento en horarios valle. Caché de inferencia para reducir cómputo repetido.</w:t>
            </w:r>
          </w:p>
        </w:tc>
        <w:tc>
          <w:tcPr>
            <w:tcW w:type="dxa" w:w="3135"/>
            <w:tcBorders>
              <w:top w:val="single" w:sz="6" w:space="0" w:color="808080"/>
              <w:left w:val="single" w:sz="6" w:space="0" w:color="808080"/>
              <w:bottom w:val="single" w:sz="6" w:space="0" w:color="808080"/>
              <w:right w:val="single" w:sz="6" w:space="0" w:color="808080"/>
            </w:tcBorders>
            <w:vAlign w:val="center"/>
          </w:tcPr>
          <w:p>
            <w:pPr>
              <w:spacing w:after="0"/>
            </w:pPr>
            <w:r>
              <w:rPr>
                <w:sz w:val="20"/>
              </w:rPr>
            </w:r>
            <w:r>
              <w:rPr>
                <w:b w:val="0"/>
                <w:i w:val="0"/>
                <w:sz w:val="20"/>
              </w:rPr>
              <w:t>Buenas prácticas Green AI (Schwartz et al., 2020)</w:t>
            </w:r>
          </w:p>
        </w:tc>
      </w:tr>
    </w:tbl>
    <w:p/>
    <w:p>
      <w:pPr>
        <w:spacing w:after="120"/>
      </w:pPr>
      <w:r>
        <w:rPr>
          <w:b w:val="0"/>
          <w:i/>
        </w:rPr>
        <w:t>Tabla 11. Matriz de impactos ambientales — ManttoAI (elaboración propia).</w:t>
      </w:r>
    </w:p>
    <w:p>
      <w:pPr>
        <w:spacing w:after="120"/>
      </w:pPr>
      <w:r>
        <w:rPr>
          <w:b w:val="0"/>
          <w:i w:val="0"/>
        </w:rPr>
        <w:t xml:space="preserve">En términos netos, el balance ambiental del proyecto es </w:t>
      </w:r>
      <w:r>
        <w:rPr>
          <w:b/>
          <w:i w:val="0"/>
        </w:rPr>
        <w:t>positivo</w:t>
      </w:r>
      <w:r>
        <w:rPr>
          <w:b w:val="0"/>
          <w:i w:val="0"/>
        </w:rPr>
        <w:t>: los beneficios ambientales indirectos (prevención de derrames, eficiencia hídrica y extensión de vida útil de equipos) superan ampliamente los impactos negativos directos asociados al consumo energético de los servidores y a los residuos electrónicos de los sensores.</w:t>
      </w:r>
    </w:p>
    <w:p>
      <w:pPr>
        <w:pStyle w:val="Heading2"/>
      </w:pPr>
      <w:r>
        <w:rPr>
          <w:color w:val="1F3A5F"/>
          <w:sz w:val="32"/>
        </w:rPr>
      </w:r>
      <w:r>
        <w:rPr>
          <w:b w:val="0"/>
          <w:i w:val="0"/>
          <w:color w:val="1F3A5F"/>
          <w:sz w:val="32"/>
        </w:rPr>
        <w:t>Conclusión</w:t>
      </w:r>
    </w:p>
    <w:p>
      <w:pPr>
        <w:spacing w:after="120"/>
      </w:pPr>
      <w:r>
        <w:rPr>
          <w:b w:val="0"/>
          <w:i w:val="0"/>
        </w:rPr>
        <w:t>El estudio desarrollado en este informe permite concluir que ManttoAI es un proyecto viable desde las perspectivas técnica, financiera, legal y ambiental, con un capital inicial de $3.000.000 CLP.</w:t>
      </w:r>
    </w:p>
    <w:p>
      <w:pPr>
        <w:spacing w:after="120"/>
      </w:pPr>
      <w:r>
        <w:rPr>
          <w:b/>
          <w:i w:val="0"/>
        </w:rPr>
        <w:t>Técnicamente</w:t>
      </w:r>
      <w:r>
        <w:rPr>
          <w:b w:val="0"/>
          <w:i w:val="0"/>
        </w:rPr>
        <w:t>, el sistema ha sido validado con un prototipo funcional: sensores ESP32 con distintos tipos de sensores según el rubro, backend FastAPI, broker MQTT, modelo Random Forest (F1 = 0,93 en pruebas) y dashboard React. La infraestructura de producción en Digital Ocean representa un costo mensual de $25.600 CLP, plenamente incorporado en la estructura de costos operacionales de la empresa.</w:t>
      </w:r>
    </w:p>
    <w:p>
      <w:pPr>
        <w:spacing w:after="120"/>
      </w:pPr>
      <w:r>
        <w:rPr>
          <w:b/>
          <w:i w:val="0"/>
        </w:rPr>
        <w:t>Financieramente</w:t>
      </w:r>
      <w:r>
        <w:rPr>
          <w:b w:val="0"/>
          <w:i w:val="0"/>
        </w:rPr>
        <w:t xml:space="preserve">, la estructura de costos es realista y acotada: $187.100 CLP/mes en costos operacionales sin retiro de socios en el Año 1, lo que permite operar durante al menos 16 meses con el capital inicial sin necesidad de ingresos. A partir de los primeros 3 clientes promedio (4 Kit Estándar c/u), el proyecto se autofinancia, y desde el Año 2 genera </w:t>
      </w:r>
      <w:r>
        <w:rPr>
          <w:b/>
          <w:i w:val="0"/>
        </w:rPr>
        <w:t>utilidad neta positiva (~$1.034.800 anual con 10 clientes activos)</w:t>
      </w:r>
      <w:r>
        <w:rPr>
          <w:b w:val="0"/>
          <w:i w:val="0"/>
        </w:rPr>
        <w:t xml:space="preserve"> permitiendo retiros de $300.000 brutos por socio. En el Año 3, con 20 clientes activos, los retiros suben a $500.000 brutos por socio manteniendo una utilidad neta de </w:t>
      </w:r>
      <w:r>
        <w:rPr>
          <w:b/>
          <w:i w:val="0"/>
        </w:rPr>
        <w:t>~$1.952.000 anual</w:t>
      </w:r>
      <w:r>
        <w:rPr>
          <w:b w:val="0"/>
          <w:i w:val="0"/>
        </w:rPr>
        <w:t>, lo que demuestra la rentabilidad sostenida del proyecto. Los socios no perciben retiro en el Año 1, decisión propia de la etapa de validación del negocio, priorizando la sustentabilidad financiera del proyecto.</w:t>
      </w:r>
    </w:p>
    <w:p>
      <w:pPr>
        <w:spacing w:after="120"/>
      </w:pPr>
      <w:r>
        <w:rPr>
          <w:b/>
          <w:i w:val="0"/>
        </w:rPr>
        <w:t>Organizacionalmente</w:t>
      </w:r>
      <w:r>
        <w:rPr>
          <w:b w:val="0"/>
          <w:i w:val="0"/>
        </w:rPr>
        <w:t>, la estructura plana de 3 socios con staff externo (contador y abogado contratados por honorarios) es la más eficiente para el tamaño y etapa del proyecto. El organigrama de máximo 3 niveles garantiza agilidad en la toma de decisiones.</w:t>
      </w:r>
    </w:p>
    <w:p>
      <w:pPr>
        <w:spacing w:after="120"/>
      </w:pPr>
      <w:r>
        <w:rPr>
          <w:b/>
          <w:i w:val="0"/>
        </w:rPr>
        <w:t>Legalmente</w:t>
      </w:r>
      <w:r>
        <w:rPr>
          <w:b w:val="0"/>
          <w:i w:val="0"/>
        </w:rPr>
        <w:t>, la constitución como SpA a través de Tu Empresa en un Día es gratuita, ágil y protege el patrimonio personal de los socios. La externalización de la contabilidad a contadoresenlinea.cl asegura el cumplimiento tributario sin necesidad de contratar personal adicional.</w:t>
      </w:r>
    </w:p>
    <w:p>
      <w:pPr>
        <w:spacing w:after="120"/>
      </w:pPr>
      <w:r>
        <w:rPr>
          <w:b/>
          <w:i w:val="0"/>
        </w:rPr>
        <w:t>Ambientalmente</w:t>
      </w:r>
      <w:r>
        <w:rPr>
          <w:b w:val="0"/>
          <w:i w:val="0"/>
        </w:rPr>
        <w:t>, el balance neto del proyecto es positivo. La selección de Digital Ocean São Paulo (matriz renovable) y las medidas de gestión de e-waste minimizan los impactos negativos, mientras que los beneficios de la prevención de fallas y la eficiencia energética en los rubros atendidos son cuantitativamente superiores.</w:t>
      </w:r>
    </w:p>
    <w:p>
      <w:pPr>
        <w:spacing w:after="120"/>
      </w:pPr>
      <w:r>
        <w:rPr>
          <w:b w:val="0"/>
          <w:i w:val="0"/>
        </w:rPr>
        <w:t>Se recomienda avanzar a la fase de captación de clientes piloto, priorizando PYMEs del rubro industrial y agrícola de la Región de La Araucanía, donde el equipo tiene redes de contacto locales y puede ofrecer instalación y soporte presencial.</w:t>
      </w:r>
    </w:p>
    <w:p>
      <w:pPr>
        <w:pStyle w:val="Heading2"/>
      </w:pPr>
      <w:r>
        <w:rPr>
          <w:color w:val="1F3A5F"/>
          <w:sz w:val="32"/>
        </w:rPr>
      </w:r>
      <w:r>
        <w:rPr>
          <w:b w:val="0"/>
          <w:i w:val="0"/>
          <w:color w:val="1F3A5F"/>
          <w:sz w:val="32"/>
        </w:rPr>
        <w:t>Referencias</w:t>
      </w:r>
    </w:p>
    <w:p>
      <w:pPr>
        <w:spacing w:after="120"/>
      </w:pPr>
      <w:r>
        <w:rPr>
          <w:b w:val="0"/>
          <w:i w:val="0"/>
        </w:rPr>
        <w:t xml:space="preserve">Adafruit Industries. (2026). </w:t>
      </w:r>
      <w:r>
        <w:rPr>
          <w:b w:val="0"/>
          <w:i/>
        </w:rPr>
        <w:t>Catálogo de sensores y módulos para microcontroladores</w:t>
      </w:r>
      <w:r>
        <w:rPr>
          <w:b w:val="0"/>
          <w:i w:val="0"/>
        </w:rPr>
        <w:t>. https://www.adafruit.com/</w:t>
      </w:r>
    </w:p>
    <w:p>
      <w:pPr>
        <w:spacing w:after="120"/>
      </w:pPr>
      <w:r>
        <w:rPr>
          <w:b w:val="0"/>
          <w:i w:val="0"/>
        </w:rPr>
        <w:t xml:space="preserve">Agencia Nacional de Ciberseguridad. (2024). </w:t>
      </w:r>
      <w:r>
        <w:rPr>
          <w:b w:val="0"/>
          <w:i/>
        </w:rPr>
        <w:t>Marco de Ciberseguridad — Ley N° 21.663</w:t>
      </w:r>
      <w:r>
        <w:rPr>
          <w:b w:val="0"/>
          <w:i w:val="0"/>
        </w:rPr>
        <w:t>. Gobierno de Chile.</w:t>
      </w:r>
    </w:p>
    <w:p>
      <w:pPr>
        <w:spacing w:after="120"/>
      </w:pPr>
      <w:r>
        <w:rPr>
          <w:b w:val="0"/>
          <w:i w:val="0"/>
        </w:rPr>
        <w:t xml:space="preserve">AliExpress. (2026). </w:t>
      </w:r>
      <w:r>
        <w:rPr>
          <w:b w:val="0"/>
          <w:i/>
        </w:rPr>
        <w:t>Listado de precios de sensores compatibles con ESP32</w:t>
      </w:r>
      <w:r>
        <w:rPr>
          <w:b w:val="0"/>
          <w:i w:val="0"/>
        </w:rPr>
        <w:t>. https://www.aliexpress.com/</w:t>
      </w:r>
    </w:p>
    <w:p>
      <w:pPr>
        <w:spacing w:after="120"/>
      </w:pPr>
      <w:r>
        <w:rPr>
          <w:b w:val="0"/>
          <w:i w:val="0"/>
        </w:rPr>
        <w:t xml:space="preserve">Banco Central de Chile. (2026). </w:t>
      </w:r>
      <w:r>
        <w:rPr>
          <w:b w:val="0"/>
          <w:i/>
        </w:rPr>
        <w:t>Estadísticas monetarias y financieras</w:t>
      </w:r>
      <w:r>
        <w:rPr>
          <w:b w:val="0"/>
          <w:i w:val="0"/>
        </w:rPr>
        <w:t>. https://www.bcentral.cl/</w:t>
      </w:r>
    </w:p>
    <w:p>
      <w:pPr>
        <w:spacing w:after="120"/>
      </w:pPr>
      <w:r>
        <w:rPr>
          <w:b w:val="0"/>
          <w:i w:val="0"/>
        </w:rPr>
        <w:t xml:space="preserve">Código de Comercio de Chile. (1865). Artículo 424 — De las Sociedades por Acciones (modificado por la Ley N° 20.190 de 2007). </w:t>
      </w:r>
      <w:r>
        <w:rPr>
          <w:b w:val="0"/>
          <w:i/>
        </w:rPr>
        <w:t>Diario Oficial de la República de Chile</w:t>
      </w:r>
      <w:r>
        <w:rPr>
          <w:b w:val="0"/>
          <w:i w:val="0"/>
        </w:rPr>
        <w:t>.</w:t>
      </w:r>
    </w:p>
    <w:p>
      <w:pPr>
        <w:spacing w:after="120"/>
      </w:pPr>
      <w:r>
        <w:rPr>
          <w:b w:val="0"/>
          <w:i w:val="0"/>
        </w:rPr>
        <w:t xml:space="preserve">contadoresenlinea.cl. (2026). </w:t>
      </w:r>
      <w:r>
        <w:rPr>
          <w:b w:val="0"/>
          <w:i/>
        </w:rPr>
        <w:t>Planes de contabilidad para microempresas y emprendedores</w:t>
      </w:r>
      <w:r>
        <w:rPr>
          <w:b w:val="0"/>
          <w:i w:val="0"/>
        </w:rPr>
        <w:t>. https://www.contadoresenlinea.cl/</w:t>
      </w:r>
    </w:p>
    <w:p>
      <w:pPr>
        <w:spacing w:after="120"/>
      </w:pPr>
      <w:r>
        <w:rPr>
          <w:b w:val="0"/>
          <w:i w:val="0"/>
        </w:rPr>
        <w:t xml:space="preserve">Decreto con Fuerza de Ley N° 1 de 2002. Fija el texto refundido, coordinado y sistematizado del Código del Trabajo. Ministerio del Trabajo y Previsión Social. </w:t>
      </w:r>
      <w:r>
        <w:rPr>
          <w:b w:val="0"/>
          <w:i/>
        </w:rPr>
        <w:t>Diario Oficial de la República de Chile</w:t>
      </w:r>
      <w:r>
        <w:rPr>
          <w:b w:val="0"/>
          <w:i w:val="0"/>
        </w:rPr>
        <w:t>.</w:t>
      </w:r>
    </w:p>
    <w:p>
      <w:pPr>
        <w:spacing w:after="120"/>
      </w:pPr>
      <w:r>
        <w:rPr>
          <w:b w:val="0"/>
          <w:i w:val="0"/>
        </w:rPr>
        <w:t xml:space="preserve">Decreto Ley N° 824 de 1974. Aprueba texto que indica de la Ley sobre Impuesto a la Renta. </w:t>
      </w:r>
      <w:r>
        <w:rPr>
          <w:b w:val="0"/>
          <w:i/>
        </w:rPr>
        <w:t>Diario Oficial de la República de Chile</w:t>
      </w:r>
      <w:r>
        <w:rPr>
          <w:b w:val="0"/>
          <w:i w:val="0"/>
        </w:rPr>
        <w:t>.</w:t>
      </w:r>
    </w:p>
    <w:p>
      <w:pPr>
        <w:spacing w:after="120"/>
      </w:pPr>
      <w:r>
        <w:rPr>
          <w:b w:val="0"/>
          <w:i w:val="0"/>
        </w:rPr>
        <w:t xml:space="preserve">Decreto Ley N° 825 de 1974. Establece la Ley sobre Impuesto a las Ventas y Servicios (IVA). </w:t>
      </w:r>
      <w:r>
        <w:rPr>
          <w:b w:val="0"/>
          <w:i/>
        </w:rPr>
        <w:t>Diario Oficial de la República de Chile</w:t>
      </w:r>
      <w:r>
        <w:rPr>
          <w:b w:val="0"/>
          <w:i w:val="0"/>
        </w:rPr>
        <w:t>.</w:t>
      </w:r>
    </w:p>
    <w:p>
      <w:pPr>
        <w:spacing w:after="120"/>
      </w:pPr>
      <w:r>
        <w:rPr>
          <w:b w:val="0"/>
          <w:i w:val="0"/>
        </w:rPr>
        <w:t xml:space="preserve">Decreto Supremo N° 8 de 2021. Establece metas de recolección y valorización y otras obligaciones asociadas a aparatos eléctricos y electrónicos. Ministerio del Medio Ambiente. </w:t>
      </w:r>
      <w:r>
        <w:rPr>
          <w:b w:val="0"/>
          <w:i/>
        </w:rPr>
        <w:t>Diario Oficial de la República de Chile</w:t>
      </w:r>
      <w:r>
        <w:rPr>
          <w:b w:val="0"/>
          <w:i w:val="0"/>
        </w:rPr>
        <w:t>.</w:t>
      </w:r>
    </w:p>
    <w:p>
      <w:pPr>
        <w:spacing w:after="120"/>
      </w:pPr>
      <w:r>
        <w:rPr>
          <w:b w:val="0"/>
          <w:i w:val="0"/>
        </w:rPr>
        <w:t xml:space="preserve">DFRobot. (2026). </w:t>
      </w:r>
      <w:r>
        <w:rPr>
          <w:b w:val="0"/>
          <w:i/>
        </w:rPr>
        <w:t>Sensores y kits para Internet de las Cosas</w:t>
      </w:r>
      <w:r>
        <w:rPr>
          <w:b w:val="0"/>
          <w:i w:val="0"/>
        </w:rPr>
        <w:t>. https://www.dfrobot.com/</w:t>
      </w:r>
    </w:p>
    <w:p>
      <w:pPr>
        <w:spacing w:after="120"/>
      </w:pPr>
      <w:r>
        <w:rPr>
          <w:b w:val="0"/>
          <w:i w:val="0"/>
        </w:rPr>
        <w:t xml:space="preserve">Digital Ocean. (2026). </w:t>
      </w:r>
      <w:r>
        <w:rPr>
          <w:b w:val="0"/>
          <w:i/>
        </w:rPr>
        <w:t>Pricing — Droplets, Managed Databases, Spaces</w:t>
      </w:r>
      <w:r>
        <w:rPr>
          <w:b w:val="0"/>
          <w:i w:val="0"/>
        </w:rPr>
        <w:t>. https://www.digitalocean.com/pricing</w:t>
      </w:r>
    </w:p>
    <w:p>
      <w:pPr>
        <w:spacing w:after="120"/>
      </w:pPr>
      <w:r>
        <w:rPr>
          <w:b w:val="0"/>
          <w:i w:val="0"/>
        </w:rPr>
        <w:t xml:space="preserve">El Núcleo Cowork. (2026). </w:t>
      </w:r>
      <w:r>
        <w:rPr>
          <w:b w:val="0"/>
          <w:i/>
        </w:rPr>
        <w:t>Servicios de domicilio comercial y co-work — Antonio Varas 979, Temuco</w:t>
      </w:r>
      <w:r>
        <w:rPr>
          <w:b w:val="0"/>
          <w:i w:val="0"/>
        </w:rPr>
        <w:t>. https://elnucleo.cl/</w:t>
      </w:r>
    </w:p>
    <w:p>
      <w:pPr>
        <w:spacing w:after="120"/>
      </w:pPr>
      <w:r>
        <w:rPr>
          <w:b w:val="0"/>
          <w:i w:val="0"/>
        </w:rPr>
        <w:t xml:space="preserve">Instituto Nacional de Propiedad Industrial. (2026). </w:t>
      </w:r>
      <w:r>
        <w:rPr>
          <w:b w:val="0"/>
          <w:i/>
        </w:rPr>
        <w:t>Aranceles para registro de marcas — Clase 42</w:t>
      </w:r>
      <w:r>
        <w:rPr>
          <w:b w:val="0"/>
          <w:i w:val="0"/>
        </w:rPr>
        <w:t>. https://www.inapi.cl/</w:t>
      </w:r>
    </w:p>
    <w:p>
      <w:pPr>
        <w:spacing w:after="120"/>
      </w:pPr>
      <w:r>
        <w:rPr>
          <w:b w:val="0"/>
          <w:i w:val="0"/>
        </w:rPr>
        <w:t xml:space="preserve">Ley N° 16.744 de 1968. Establece normas sobre accidentes del trabajo y enfermedades profesionales. </w:t>
      </w:r>
      <w:r>
        <w:rPr>
          <w:b w:val="0"/>
          <w:i/>
        </w:rPr>
        <w:t>Diario Oficial de la República de Chile</w:t>
      </w:r>
      <w:r>
        <w:rPr>
          <w:b w:val="0"/>
          <w:i w:val="0"/>
        </w:rPr>
        <w:t>.</w:t>
      </w:r>
    </w:p>
    <w:p>
      <w:pPr>
        <w:spacing w:after="120"/>
      </w:pPr>
      <w:r>
        <w:rPr>
          <w:b w:val="0"/>
          <w:i w:val="0"/>
        </w:rPr>
        <w:t xml:space="preserve">Ley N° 17.336 de 1970. Sobre Propiedad Intelectual. </w:t>
      </w:r>
      <w:r>
        <w:rPr>
          <w:b w:val="0"/>
          <w:i/>
        </w:rPr>
        <w:t>Diario Oficial de la República de Chile</w:t>
      </w:r>
      <w:r>
        <w:rPr>
          <w:b w:val="0"/>
          <w:i w:val="0"/>
        </w:rPr>
        <w:t>.</w:t>
      </w:r>
    </w:p>
    <w:p>
      <w:pPr>
        <w:spacing w:after="120"/>
      </w:pPr>
      <w:r>
        <w:rPr>
          <w:b w:val="0"/>
          <w:i w:val="0"/>
        </w:rPr>
        <w:t xml:space="preserve">Ley N° 19.039 de 1991. Sobre Propiedad Industrial. </w:t>
      </w:r>
      <w:r>
        <w:rPr>
          <w:b w:val="0"/>
          <w:i/>
        </w:rPr>
        <w:t>Diario Oficial de la República de Chile</w:t>
      </w:r>
      <w:r>
        <w:rPr>
          <w:b w:val="0"/>
          <w:i w:val="0"/>
        </w:rPr>
        <w:t>.</w:t>
      </w:r>
    </w:p>
    <w:p>
      <w:pPr>
        <w:spacing w:after="120"/>
      </w:pPr>
      <w:r>
        <w:rPr>
          <w:b w:val="0"/>
          <w:i w:val="0"/>
        </w:rPr>
        <w:t xml:space="preserve">Ley N° 19.628 de 1999. Sobre protección de la vida privada. </w:t>
      </w:r>
      <w:r>
        <w:rPr>
          <w:b w:val="0"/>
          <w:i/>
        </w:rPr>
        <w:t>Diario Oficial de la República de Chile</w:t>
      </w:r>
      <w:r>
        <w:rPr>
          <w:b w:val="0"/>
          <w:i w:val="0"/>
        </w:rPr>
        <w:t>.</w:t>
      </w:r>
    </w:p>
    <w:p>
      <w:pPr>
        <w:spacing w:after="120"/>
      </w:pPr>
      <w:r>
        <w:rPr>
          <w:b w:val="0"/>
          <w:i w:val="0"/>
        </w:rPr>
        <w:t xml:space="preserve">Ley N° 20.190 de 2007. Introduce adecuaciones tributarias e institucionales para el fomento de la industria de capital de riesgo. </w:t>
      </w:r>
      <w:r>
        <w:rPr>
          <w:b w:val="0"/>
          <w:i/>
        </w:rPr>
        <w:t>Diario Oficial de la República de Chile</w:t>
      </w:r>
      <w:r>
        <w:rPr>
          <w:b w:val="0"/>
          <w:i w:val="0"/>
        </w:rPr>
        <w:t>.</w:t>
      </w:r>
    </w:p>
    <w:p>
      <w:pPr>
        <w:spacing w:after="120"/>
      </w:pPr>
      <w:r>
        <w:rPr>
          <w:b w:val="0"/>
          <w:i w:val="0"/>
        </w:rPr>
        <w:t xml:space="preserve">Ley N° 20.416 de 2010. Fija normas especiales para las empresas de menor tamaño. </w:t>
      </w:r>
      <w:r>
        <w:rPr>
          <w:b w:val="0"/>
          <w:i/>
        </w:rPr>
        <w:t>Diario Oficial de la República de Chile</w:t>
      </w:r>
      <w:r>
        <w:rPr>
          <w:b w:val="0"/>
          <w:i w:val="0"/>
        </w:rPr>
        <w:t>.</w:t>
      </w:r>
    </w:p>
    <w:p>
      <w:pPr>
        <w:spacing w:after="120"/>
      </w:pPr>
      <w:r>
        <w:rPr>
          <w:b w:val="0"/>
          <w:i w:val="0"/>
        </w:rPr>
        <w:t xml:space="preserve">Ley N° 20.920 de 2016. Marco para la gestión de residuos, la responsabilidad extendida del productor y fomento al reciclaje. </w:t>
      </w:r>
      <w:r>
        <w:rPr>
          <w:b w:val="0"/>
          <w:i/>
        </w:rPr>
        <w:t>Diario Oficial de la República de Chile</w:t>
      </w:r>
      <w:r>
        <w:rPr>
          <w:b w:val="0"/>
          <w:i w:val="0"/>
        </w:rPr>
        <w:t>.</w:t>
      </w:r>
    </w:p>
    <w:p>
      <w:pPr>
        <w:spacing w:after="120"/>
      </w:pPr>
      <w:r>
        <w:rPr>
          <w:b w:val="0"/>
          <w:i w:val="0"/>
        </w:rPr>
        <w:t xml:space="preserve">Ley N° 21.455 de 2022. Ley Marco de Cambio Climático. </w:t>
      </w:r>
      <w:r>
        <w:rPr>
          <w:b w:val="0"/>
          <w:i/>
        </w:rPr>
        <w:t>Diario Oficial de la República de Chile</w:t>
      </w:r>
      <w:r>
        <w:rPr>
          <w:b w:val="0"/>
          <w:i w:val="0"/>
        </w:rPr>
        <w:t>.</w:t>
      </w:r>
    </w:p>
    <w:p>
      <w:pPr>
        <w:spacing w:after="120"/>
      </w:pPr>
      <w:r>
        <w:rPr>
          <w:b w:val="0"/>
          <w:i w:val="0"/>
        </w:rPr>
        <w:t xml:space="preserve">Ley N° 21.663 de 2024. Ley Marco sobre Ciberseguridad e Infraestructura Crítica de la Información. </w:t>
      </w:r>
      <w:r>
        <w:rPr>
          <w:b w:val="0"/>
          <w:i/>
        </w:rPr>
        <w:t>Diario Oficial de la República de Chile</w:t>
      </w:r>
      <w:r>
        <w:rPr>
          <w:b w:val="0"/>
          <w:i w:val="0"/>
        </w:rPr>
        <w:t>.</w:t>
      </w:r>
    </w:p>
    <w:p>
      <w:pPr>
        <w:spacing w:after="120"/>
      </w:pPr>
      <w:r>
        <w:rPr>
          <w:b w:val="0"/>
          <w:i w:val="0"/>
        </w:rPr>
        <w:t xml:space="preserve">Ley N° 21.719 de 2024. Sobre protección y tratamiento de datos personales. </w:t>
      </w:r>
      <w:r>
        <w:rPr>
          <w:b w:val="0"/>
          <w:i/>
        </w:rPr>
        <w:t>Diario Oficial de la República de Chile</w:t>
      </w:r>
      <w:r>
        <w:rPr>
          <w:b w:val="0"/>
          <w:i w:val="0"/>
        </w:rPr>
        <w:t>.</w:t>
      </w:r>
    </w:p>
    <w:p>
      <w:pPr>
        <w:spacing w:after="120"/>
      </w:pPr>
      <w:r>
        <w:rPr>
          <w:b w:val="0"/>
          <w:i w:val="0"/>
        </w:rPr>
        <w:t xml:space="preserve">MercadoLibre Chile. (2026). </w:t>
      </w:r>
      <w:r>
        <w:rPr>
          <w:b w:val="0"/>
          <w:i/>
        </w:rPr>
        <w:t>Catálogo de electrónica y componentes IoT</w:t>
      </w:r>
      <w:r>
        <w:rPr>
          <w:b w:val="0"/>
          <w:i w:val="0"/>
        </w:rPr>
        <w:t>. https://www.mercadolibre.cl/</w:t>
      </w:r>
    </w:p>
    <w:p>
      <w:pPr>
        <w:spacing w:after="120"/>
      </w:pPr>
      <w:r>
        <w:rPr>
          <w:b w:val="0"/>
          <w:i w:val="0"/>
        </w:rPr>
        <w:t xml:space="preserve">Ministerio de Economía, Fomento y Turismo. (2024). </w:t>
      </w:r>
      <w:r>
        <w:rPr>
          <w:b w:val="0"/>
          <w:i/>
        </w:rPr>
        <w:t>Tu Empresa en un Día</w:t>
      </w:r>
      <w:r>
        <w:rPr>
          <w:b w:val="0"/>
          <w:i w:val="0"/>
        </w:rPr>
        <w:t>. https://www.tuempresaenundia.cl/</w:t>
      </w:r>
    </w:p>
    <w:p>
      <w:pPr>
        <w:spacing w:after="120"/>
      </w:pPr>
      <w:r>
        <w:rPr>
          <w:b w:val="0"/>
          <w:i w:val="0"/>
        </w:rPr>
        <w:t xml:space="preserve">Ministerio del Medio Ambiente. (2020). </w:t>
      </w:r>
      <w:r>
        <w:rPr>
          <w:b w:val="0"/>
          <w:i/>
        </w:rPr>
        <w:t>Contribución Determinada a Nivel Nacional (NDC) de Chile, actualización 2020</w:t>
      </w:r>
      <w:r>
        <w:rPr>
          <w:b w:val="0"/>
          <w:i w:val="0"/>
        </w:rPr>
        <w:t>. https://www.mma.gob.cl/</w:t>
      </w:r>
    </w:p>
    <w:p>
      <w:pPr>
        <w:spacing w:after="120"/>
      </w:pPr>
      <w:r>
        <w:rPr>
          <w:b w:val="0"/>
          <w:i w:val="0"/>
        </w:rPr>
        <w:t xml:space="preserve">Naciones Unidas. (2015). </w:t>
      </w:r>
      <w:r>
        <w:rPr>
          <w:b w:val="0"/>
          <w:i/>
        </w:rPr>
        <w:t>Acuerdo de París — Convención Marco de las Naciones Unidas sobre el Cambio Climático</w:t>
      </w:r>
      <w:r>
        <w:rPr>
          <w:b w:val="0"/>
          <w:i w:val="0"/>
        </w:rPr>
        <w:t>. https://unfccc.int/</w:t>
      </w:r>
    </w:p>
    <w:p>
      <w:pPr>
        <w:spacing w:after="120"/>
      </w:pPr>
      <w:r>
        <w:rPr>
          <w:b w:val="0"/>
          <w:i w:val="0"/>
        </w:rPr>
        <w:t xml:space="preserve">NIC Chile. (2026). </w:t>
      </w:r>
      <w:r>
        <w:rPr>
          <w:b w:val="0"/>
          <w:i/>
        </w:rPr>
        <w:t>Aranceles y registro de dominios .cl</w:t>
      </w:r>
      <w:r>
        <w:rPr>
          <w:b w:val="0"/>
          <w:i w:val="0"/>
        </w:rPr>
        <w:t>. https://www.nic.cl/</w:t>
      </w:r>
    </w:p>
    <w:p>
      <w:pPr>
        <w:spacing w:after="120"/>
      </w:pPr>
      <w:r>
        <w:rPr>
          <w:b w:val="0"/>
          <w:i w:val="0"/>
        </w:rPr>
        <w:t xml:space="preserve">Norma Chilena NCh-ISO 55001. (2014). </w:t>
      </w:r>
      <w:r>
        <w:rPr>
          <w:b w:val="0"/>
          <w:i/>
        </w:rPr>
        <w:t>Gestión de activos — Sistemas de gestión — Requisitos</w:t>
      </w:r>
      <w:r>
        <w:rPr>
          <w:b w:val="0"/>
          <w:i w:val="0"/>
        </w:rPr>
        <w:t>. Instituto Nacional de Normalización (INN), Chile.</w:t>
      </w:r>
    </w:p>
    <w:p>
      <w:pPr>
        <w:spacing w:after="120"/>
      </w:pPr>
      <w:r>
        <w:rPr>
          <w:b w:val="0"/>
          <w:i w:val="0"/>
        </w:rPr>
        <w:t xml:space="preserve">OficinVirtual.cl. (2026). </w:t>
      </w:r>
      <w:r>
        <w:rPr>
          <w:b w:val="0"/>
          <w:i/>
        </w:rPr>
        <w:t>Servicio de domicilio tributario y comercial — Vicuña Mackenna 678, Temuco</w:t>
      </w:r>
      <w:r>
        <w:rPr>
          <w:b w:val="0"/>
          <w:i w:val="0"/>
        </w:rPr>
        <w:t>. https://oficinvirtual.cl/</w:t>
      </w:r>
    </w:p>
    <w:p>
      <w:pPr>
        <w:spacing w:after="120"/>
      </w:pPr>
      <w:r>
        <w:rPr>
          <w:b w:val="0"/>
          <w:i w:val="0"/>
        </w:rPr>
        <w:t xml:space="preserve">Schwartz, R., Dodge, J., Smith, N. A., &amp; Etzioni, O. (2020). Green AI. </w:t>
      </w:r>
      <w:r>
        <w:rPr>
          <w:b w:val="0"/>
          <w:i/>
        </w:rPr>
        <w:t>Communications of the ACM, 63</w:t>
      </w:r>
      <w:r>
        <w:rPr>
          <w:b w:val="0"/>
          <w:i w:val="0"/>
        </w:rPr>
        <w:t>(12), 54–63.</w:t>
      </w:r>
    </w:p>
    <w:p>
      <w:pPr>
        <w:spacing w:after="120"/>
      </w:pPr>
      <w:r>
        <w:rPr>
          <w:b w:val="0"/>
          <w:i w:val="0"/>
        </w:rPr>
        <w:t xml:space="preserve">Servicio de Impuestos Internos. (2026). </w:t>
      </w:r>
      <w:r>
        <w:rPr>
          <w:b w:val="0"/>
          <w:i/>
        </w:rPr>
        <w:t>Simulador Homer — inicio de actividades y obligaciones tributarias</w:t>
      </w:r>
      <w:r>
        <w:rPr>
          <w:b w:val="0"/>
          <w:i w:val="0"/>
        </w:rPr>
        <w:t>. https://homer.sii.cl/</w:t>
      </w:r>
    </w:p>
    <w:p>
      <w:pPr>
        <w:spacing w:after="120"/>
      </w:pPr>
      <w:r>
        <w:rPr>
          <w:b w:val="0"/>
          <w:i w:val="0"/>
        </w:rPr>
        <w:t xml:space="preserve">Superintendencia de Pensiones de Chile. (2026). </w:t>
      </w:r>
      <w:r>
        <w:rPr>
          <w:b w:val="0"/>
          <w:i/>
        </w:rPr>
        <w:t>Estadísticas del sistema previsional</w:t>
      </w:r>
      <w:r>
        <w:rPr>
          <w:b w:val="0"/>
          <w:i w:val="0"/>
        </w:rPr>
        <w:t>. https://www.spensiones.cl/</w:t>
      </w:r>
    </w:p>
    <w:p>
      <w:pPr>
        <w:spacing w:after="120"/>
      </w:pPr>
      <w:r>
        <w:rPr>
          <w:b w:val="0"/>
          <w:i w:val="0"/>
        </w:rPr>
        <w:t xml:space="preserve">U.S. Department of Energy. (2010). </w:t>
      </w:r>
      <w:r>
        <w:rPr>
          <w:b w:val="0"/>
          <w:i/>
        </w:rPr>
        <w:t>Operations &amp; Maintenance Best Practices Guide: Release 3.0</w:t>
      </w:r>
      <w:r>
        <w:rPr>
          <w:b w:val="0"/>
          <w:i w:val="0"/>
        </w:rPr>
        <w:t>. Pacific Northwest National Laboratory.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