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C0292B"/>
          <w:sz w:val="28"/>
          <w:szCs w:val="28"/>
        </w:rPr>
        <w:t xml:space="preserve">INSTITUTO PROFESIONAL INACAP</w:t>
      </w:r>
    </w:p>
    <w:p>
      <w:pPr>
        <w:spacing w:after="120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Ingeniería en Informática</w:t>
      </w:r>
    </w:p>
    <w:p>
      <w:pPr>
        <w:pBdr>
          <w:top w:val="single" w:color="C0292B" w:sz="12" w:space="8"/>
          <w:bottom w:val="single" w:color="C0292B" w:sz="12" w:space="8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C0292B"/>
          <w:sz w:val="36"/>
          <w:szCs w:val="36"/>
        </w:rPr>
        <w:t xml:space="preserve">ÁREAS DE CONOCIMIENTO DEL PROYECTO</w:t>
      </w:r>
    </w:p>
    <w:p>
      <w:pPr>
        <w:spacing w:after="1200" w:before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Según PMBOK 6.ª Edición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1F1F"/>
          <w:sz w:val="26"/>
          <w:szCs w:val="26"/>
        </w:rPr>
        <w:t xml:space="preserve">Proyecto:</w:t>
      </w:r>
    </w:p>
    <w:p>
      <w:pPr>
        <w:spacing w:after="240" w:before="60"/>
        <w:jc w:val="center"/>
      </w:pPr>
      <w:r>
        <w:rPr>
          <w:rFonts w:ascii="Arial" w:cs="Arial" w:eastAsia="Arial" w:hAnsi="Arial"/>
          <w:b/>
          <w:bCs/>
          <w:color w:val="C0292B"/>
          <w:sz w:val="32"/>
          <w:szCs w:val="32"/>
        </w:rPr>
        <w:t xml:space="preserve">ManttoAI Predictivo 2025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Asignatura: Gestión de Proyectos Informáticos</w:t>
      </w:r>
    </w:p>
    <w:p>
      <w:pPr>
        <w:spacing w:after="60" w:before="1440"/>
        <w:jc w:val="center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Integrantes del Equipo: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Sebastián Bravo</w:t>
      </w:r>
    </w:p>
    <w:p>
      <w:pPr>
        <w:spacing w:after="240" w:before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2025</w:t>
      </w:r>
    </w:p>
    <w:p>
      <w:r>
        <w:br w:type="page"/>
      </w:r>
    </w:p>
    <w:p>
      <w:pPr>
        <w:pBdr>
          <w:bottom w:val="single" w:color="C0292B" w:sz="8" w:space="4"/>
        </w:pBdr>
        <w:spacing w:after="160" w:before="240"/>
        <w:jc w:val="center"/>
      </w:pPr>
      <w:r>
        <w:rPr>
          <w:rFonts w:ascii="Arial" w:cs="Arial" w:eastAsia="Arial" w:hAnsi="Arial"/>
          <w:b/>
          <w:bCs/>
          <w:color w:val="C0292B"/>
          <w:sz w:val="28"/>
          <w:szCs w:val="28"/>
        </w:rPr>
        <w:t xml:space="preserve">ÍNDICE</w:t>
      </w:r>
    </w:p>
    <w:p>
      <w:pPr>
        <w:spacing w:after="40" w:before="40"/>
      </w:pPr>
      <w:r>
        <w:t xml:space="preserve"/>
      </w:r>
    </w:p>
    <w:p>
      <w:pPr>
        <w:tabs>
          <w:tab w:val="right" w:pos="9000"/>
        </w:tabs>
        <w:spacing w:after="80" w:before="80" w:line="280"/>
      </w:pPr>
      <w:r>
        <w:rPr>
          <w:rFonts w:ascii="Arial" w:cs="Arial" w:eastAsia="Arial" w:hAnsi="Arial"/>
          <w:b/>
          <w:bCs/>
          <w:color w:val="C0292B"/>
          <w:sz w:val="22"/>
          <w:szCs w:val="22"/>
        </w:rPr>
        <w:t xml:space="preserve">I.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Gestión de la Integración del Proyecto</w:t>
      </w:r>
      <w:r>
        <w:rPr>
          <w:rFonts w:ascii="Arial" w:cs="Arial" w:eastAsia="Arial" w:hAnsi="Arial"/>
          <w:color w:val="C0292B"/>
          <w:sz w:val="22"/>
          <w:szCs w:val="22"/>
        </w:rPr>
        <w:t xml:space="preserve">	3</w:t>
      </w:r>
    </w:p>
    <w:p>
      <w:pPr>
        <w:tabs>
          <w:tab w:val="right" w:pos="9000"/>
        </w:tabs>
        <w:spacing w:after="80" w:before="80" w:line="280"/>
      </w:pPr>
      <w:r>
        <w:rPr>
          <w:rFonts w:ascii="Arial" w:cs="Arial" w:eastAsia="Arial" w:hAnsi="Arial"/>
          <w:b/>
          <w:bCs/>
          <w:color w:val="C0292B"/>
          <w:sz w:val="22"/>
          <w:szCs w:val="22"/>
        </w:rPr>
        <w:t xml:space="preserve">II.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Gestión del Alcance del Proyecto</w:t>
      </w:r>
      <w:r>
        <w:rPr>
          <w:rFonts w:ascii="Arial" w:cs="Arial" w:eastAsia="Arial" w:hAnsi="Arial"/>
          <w:color w:val="C0292B"/>
          <w:sz w:val="22"/>
          <w:szCs w:val="22"/>
        </w:rPr>
        <w:t xml:space="preserve">	4</w:t>
      </w:r>
    </w:p>
    <w:p>
      <w:pPr>
        <w:tabs>
          <w:tab w:val="right" w:pos="9000"/>
        </w:tabs>
        <w:spacing w:after="80" w:before="80" w:line="280"/>
      </w:pPr>
      <w:r>
        <w:rPr>
          <w:rFonts w:ascii="Arial" w:cs="Arial" w:eastAsia="Arial" w:hAnsi="Arial"/>
          <w:b/>
          <w:bCs/>
          <w:color w:val="C0292B"/>
          <w:sz w:val="22"/>
          <w:szCs w:val="22"/>
        </w:rPr>
        <w:t xml:space="preserve">III.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Gestión del Cronograma del Proyecto</w:t>
      </w:r>
      <w:r>
        <w:rPr>
          <w:rFonts w:ascii="Arial" w:cs="Arial" w:eastAsia="Arial" w:hAnsi="Arial"/>
          <w:color w:val="C0292B"/>
          <w:sz w:val="22"/>
          <w:szCs w:val="22"/>
        </w:rPr>
        <w:t xml:space="preserve">	5</w:t>
      </w:r>
    </w:p>
    <w:p>
      <w:pPr>
        <w:tabs>
          <w:tab w:val="right" w:pos="9000"/>
        </w:tabs>
        <w:spacing w:after="80" w:before="80" w:line="280"/>
      </w:pPr>
      <w:r>
        <w:rPr>
          <w:rFonts w:ascii="Arial" w:cs="Arial" w:eastAsia="Arial" w:hAnsi="Arial"/>
          <w:b/>
          <w:bCs/>
          <w:color w:val="C0292B"/>
          <w:sz w:val="22"/>
          <w:szCs w:val="22"/>
        </w:rPr>
        <w:t xml:space="preserve">IV.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Gestión de los Costos del Proyecto</w:t>
      </w:r>
      <w:r>
        <w:rPr>
          <w:rFonts w:ascii="Arial" w:cs="Arial" w:eastAsia="Arial" w:hAnsi="Arial"/>
          <w:color w:val="C0292B"/>
          <w:sz w:val="22"/>
          <w:szCs w:val="22"/>
        </w:rPr>
        <w:t xml:space="preserve">	6</w:t>
      </w:r>
    </w:p>
    <w:p>
      <w:pPr>
        <w:tabs>
          <w:tab w:val="right" w:pos="9000"/>
        </w:tabs>
        <w:spacing w:after="80" w:before="80" w:line="280"/>
      </w:pPr>
      <w:r>
        <w:rPr>
          <w:rFonts w:ascii="Arial" w:cs="Arial" w:eastAsia="Arial" w:hAnsi="Arial"/>
          <w:b/>
          <w:bCs/>
          <w:color w:val="C0292B"/>
          <w:sz w:val="22"/>
          <w:szCs w:val="22"/>
        </w:rPr>
        <w:t xml:space="preserve">V.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Gestión de la Calidad del Proyecto</w:t>
      </w:r>
      <w:r>
        <w:rPr>
          <w:rFonts w:ascii="Arial" w:cs="Arial" w:eastAsia="Arial" w:hAnsi="Arial"/>
          <w:color w:val="C0292B"/>
          <w:sz w:val="22"/>
          <w:szCs w:val="22"/>
        </w:rPr>
        <w:t xml:space="preserve">	7</w:t>
      </w:r>
    </w:p>
    <w:p>
      <w:pPr>
        <w:tabs>
          <w:tab w:val="right" w:pos="9000"/>
        </w:tabs>
        <w:spacing w:after="80" w:before="80" w:line="280"/>
      </w:pPr>
      <w:r>
        <w:rPr>
          <w:rFonts w:ascii="Arial" w:cs="Arial" w:eastAsia="Arial" w:hAnsi="Arial"/>
          <w:b/>
          <w:bCs/>
          <w:color w:val="C0292B"/>
          <w:sz w:val="22"/>
          <w:szCs w:val="22"/>
        </w:rPr>
        <w:t xml:space="preserve">VI.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Gestión de los Recursos del Proyecto</w:t>
      </w:r>
      <w:r>
        <w:rPr>
          <w:rFonts w:ascii="Arial" w:cs="Arial" w:eastAsia="Arial" w:hAnsi="Arial"/>
          <w:color w:val="C0292B"/>
          <w:sz w:val="22"/>
          <w:szCs w:val="22"/>
        </w:rPr>
        <w:t xml:space="preserve">	8</w:t>
      </w:r>
    </w:p>
    <w:p>
      <w:pPr>
        <w:tabs>
          <w:tab w:val="right" w:pos="9000"/>
        </w:tabs>
        <w:spacing w:after="80" w:before="80" w:line="280"/>
      </w:pPr>
      <w:r>
        <w:rPr>
          <w:rFonts w:ascii="Arial" w:cs="Arial" w:eastAsia="Arial" w:hAnsi="Arial"/>
          <w:b/>
          <w:bCs/>
          <w:color w:val="C0292B"/>
          <w:sz w:val="22"/>
          <w:szCs w:val="22"/>
        </w:rPr>
        <w:t xml:space="preserve">VII.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Gestión de las Comunicaciones del Proyecto</w:t>
      </w:r>
      <w:r>
        <w:rPr>
          <w:rFonts w:ascii="Arial" w:cs="Arial" w:eastAsia="Arial" w:hAnsi="Arial"/>
          <w:color w:val="C0292B"/>
          <w:sz w:val="22"/>
          <w:szCs w:val="22"/>
        </w:rPr>
        <w:t xml:space="preserve">	9</w:t>
      </w:r>
    </w:p>
    <w:p>
      <w:pPr>
        <w:tabs>
          <w:tab w:val="right" w:pos="9000"/>
        </w:tabs>
        <w:spacing w:after="80" w:before="80" w:line="280"/>
      </w:pPr>
      <w:r>
        <w:rPr>
          <w:rFonts w:ascii="Arial" w:cs="Arial" w:eastAsia="Arial" w:hAnsi="Arial"/>
          <w:b/>
          <w:bCs/>
          <w:color w:val="C0292B"/>
          <w:sz w:val="22"/>
          <w:szCs w:val="22"/>
        </w:rPr>
        <w:t xml:space="preserve">VIII.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Gestión de los Riesgos del Proyecto</w:t>
      </w:r>
      <w:r>
        <w:rPr>
          <w:rFonts w:ascii="Arial" w:cs="Arial" w:eastAsia="Arial" w:hAnsi="Arial"/>
          <w:color w:val="C0292B"/>
          <w:sz w:val="22"/>
          <w:szCs w:val="22"/>
        </w:rPr>
        <w:t xml:space="preserve">	10</w:t>
      </w:r>
    </w:p>
    <w:p>
      <w:pPr>
        <w:tabs>
          <w:tab w:val="right" w:pos="9000"/>
        </w:tabs>
        <w:spacing w:after="80" w:before="80" w:line="280"/>
      </w:pPr>
      <w:r>
        <w:rPr>
          <w:rFonts w:ascii="Arial" w:cs="Arial" w:eastAsia="Arial" w:hAnsi="Arial"/>
          <w:b/>
          <w:bCs/>
          <w:color w:val="C0292B"/>
          <w:sz w:val="22"/>
          <w:szCs w:val="22"/>
        </w:rPr>
        <w:t xml:space="preserve">IX.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Gestión de las Adquisiciones del Proyecto</w:t>
      </w:r>
      <w:r>
        <w:rPr>
          <w:rFonts w:ascii="Arial" w:cs="Arial" w:eastAsia="Arial" w:hAnsi="Arial"/>
          <w:color w:val="C0292B"/>
          <w:sz w:val="22"/>
          <w:szCs w:val="22"/>
        </w:rPr>
        <w:t xml:space="preserve">	11</w:t>
      </w:r>
    </w:p>
    <w:p>
      <w:pPr>
        <w:tabs>
          <w:tab w:val="right" w:pos="9000"/>
        </w:tabs>
        <w:spacing w:after="80" w:before="80" w:line="280"/>
      </w:pPr>
      <w:r>
        <w:rPr>
          <w:rFonts w:ascii="Arial" w:cs="Arial" w:eastAsia="Arial" w:hAnsi="Arial"/>
          <w:b/>
          <w:bCs/>
          <w:color w:val="C0292B"/>
          <w:sz w:val="22"/>
          <w:szCs w:val="22"/>
        </w:rPr>
        <w:t xml:space="preserve">X.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Gestión de los Interesados del Proyecto</w:t>
      </w:r>
      <w:r>
        <w:rPr>
          <w:rFonts w:ascii="Arial" w:cs="Arial" w:eastAsia="Arial" w:hAnsi="Arial"/>
          <w:color w:val="C0292B"/>
          <w:sz w:val="22"/>
          <w:szCs w:val="22"/>
        </w:rPr>
        <w:t xml:space="preserve">	12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C02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C0292B"/>
          <w:sz w:val="28"/>
          <w:szCs w:val="28"/>
        </w:rPr>
        <w:t xml:space="preserve">I. Gestión de la Integración del Proyecto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Definición según PMBOK 6.ª Edición:</w:t>
      </w:r>
    </w:p>
    <w:p>
      <w:pPr>
        <w:pBdr>
          <w:left w:val="single" w:color="C0292B" w:sz="12" w:space="8"/>
        </w:pBdr>
        <w:shd w:fill="F9F2F2" w:val="clear"/>
        <w:spacing w:after="80" w:before="80" w:line="280"/>
        <w:ind w:left="360" w:right="360"/>
        <w:jc w:val="both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La Gestión de la Integración del Proyecto incluye los procesos y actividades para identificar, definir, combinar, unificar y coordinar los diversos procesos y actividades de dirección del proyecto dentro de los Grupos de Procesos de la Dirección de Proyectos. (PMBOK 6.ª ed., p. 69)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Aplicación al Proyecto ManttoAI Predictivo: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En el proyecto ManttoAI Predictivo, la integración es clave para articular los diferentes componentes técnicos: el módulo de IoT, el motor de inteligencia artificial, el dashboard de visualización y el sistema de alertas. El director de proyecto es responsable de coordinar los equipos de desarrollo, garantizar la coherencia entre los entregables y gestionar el control integrado de cambios a lo largo del ciclo de vida del proyecto.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Procesos aplicados: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0292B" w:sz="8"/>
              <w:left w:val="single" w:color="C0292B" w:sz="8"/>
              <w:bottom w:val="single" w:color="C0292B" w:sz="8"/>
              <w:right w:val="single" w:color="C0292B" w:sz="8"/>
            </w:tcBorders>
            <w:shd w:fill="C02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Proceso</w:t>
            </w:r>
          </w:p>
        </w:tc>
        <w:tc>
          <w:tcPr>
            <w:tcW w:type="dxa" w:w="6360"/>
            <w:tcBorders>
              <w:top w:val="single" w:color="C0292B" w:sz="8"/>
              <w:left w:val="single" w:color="C0292B" w:sz="8"/>
              <w:bottom w:val="single" w:color="C0292B" w:sz="8"/>
              <w:right w:val="single" w:color="C0292B" w:sz="8"/>
            </w:tcBorders>
            <w:shd w:fill="C02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Aplicación en ManttoAI Predictivo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Desarrollar el Acta de Constitución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formalizó el proyecto ManttoAI con la aprobación del patrocinador, definiendo el alcance general, los objetivos de mantenimiento predictivo y los recursos asignados inicialmente.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Desarrollar el Plan para la Dirección del Proyecto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elaboró un plan integrado que consolida el cronograma, presupuesto, plan de calidad, gestión de riesgos y comunicaciones del sistema predictivo.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Dirigir y Gestionar el Trabajo del Proyecto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El equipo ejecuta iteraciones de desarrollo del modelo de IA, integración de sensores y pruebas del sistema de alertas tempranas, bajo supervisión continua.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Gestionar el Conocimiento del Proyecto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documentan las lecciones aprendidas sobre el ajuste de modelos de machine learning y la calibración de sensores, para transferir conocimiento al equipo de mantenimiento.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Realizar el Control Integrado de Cambios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Cualquier modificación en los algoritmos predictivos o en la arquitectura del sistema requiere evaluación formal de impacto antes de su aprobación.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Cerrar el Proyecto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Al finalizar, se entrega el sistema operativo a la organización cliente, se liberan los recursos y se archiva la documentación del proyecto.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C02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C0292B"/>
          <w:sz w:val="28"/>
          <w:szCs w:val="28"/>
        </w:rPr>
        <w:t xml:space="preserve">II. Gestión del Alcance del Proyecto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Definición según PMBOK 6.ª Edición:</w:t>
      </w:r>
    </w:p>
    <w:p>
      <w:pPr>
        <w:pBdr>
          <w:left w:val="single" w:color="C0292B" w:sz="12" w:space="8"/>
        </w:pBdr>
        <w:shd w:fill="F9F2F2" w:val="clear"/>
        <w:spacing w:after="80" w:before="80" w:line="280"/>
        <w:ind w:left="360" w:right="360"/>
        <w:jc w:val="both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La Gestión del Alcance del Proyecto incluye los procesos requeridos para garantizar que el proyecto incluya todo el trabajo requerido, y únicamente el trabajo requerido, para completarlo con éxito. (PMBOK 6.ª ed., p. 129)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Aplicación al Proyecto ManttoAI Predictivo: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Para ManttoAI Predictivo, el alcance comprende el desarrollo de un sistema de mantenimiento predictivo basado en machine learning e IoT para monitorear equipos industriales en tiempo real. Está explícitamente excluido del alcance: el mantenimiento correctivo tradicional, la gestión de inventario de repuestos y la implementación en entornos no digitalizados.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Procesos aplicados: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0292B" w:sz="8"/>
              <w:left w:val="single" w:color="C0292B" w:sz="8"/>
              <w:bottom w:val="single" w:color="C0292B" w:sz="8"/>
              <w:right w:val="single" w:color="C0292B" w:sz="8"/>
            </w:tcBorders>
            <w:shd w:fill="C02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Proceso</w:t>
            </w:r>
          </w:p>
        </w:tc>
        <w:tc>
          <w:tcPr>
            <w:tcW w:type="dxa" w:w="6360"/>
            <w:tcBorders>
              <w:top w:val="single" w:color="C0292B" w:sz="8"/>
              <w:left w:val="single" w:color="C0292B" w:sz="8"/>
              <w:bottom w:val="single" w:color="C0292B" w:sz="8"/>
              <w:right w:val="single" w:color="C0292B" w:sz="8"/>
            </w:tcBorders>
            <w:shd w:fill="C02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Aplicación en ManttoAI Predictivo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Planificar la Gestión del Alcance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definieron las políticas y procedimientos para delimitar qué funcionalidades forman parte del sistema predictivo y cuáles quedan fuera del proyecto actual.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Recopilar Requisitos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 través de entrevistas con el equipo de mantenimiento y talleres con los operadores, se identificaron los KPIs clave: reducción de fallos en un 30%, tiempo de respuesta menor a 5 minutos ante alertas críticas.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Definir el Alcance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elaboró el Enunciado del Alcance que incluye: módulo de adquisición de datos IoT, motor de predicción con algoritmos Random Forest y LSTM, dashboard web y sistema de notificaciones.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Crear la EDT/WBS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La Estructura de Desglose del Trabajo organiza el proyecto en 6 fases: Inicio, Análisis de Datos, Desarrollo del Modelo IA, Integración IoT, Pruebas y Despliegue.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Validar el Alcance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Cada entregable es revisado y aprobado formalmente por el cliente antes de avanzar a la siguiente fase del desarrollo.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Controlar el Alcance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monitorea continuamente que no ocurra expansión no autorizada del alcance (scope creep), especialmente en el módulo de IA donde los requisitos tienden a crecer.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C02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C0292B"/>
          <w:sz w:val="28"/>
          <w:szCs w:val="28"/>
        </w:rPr>
        <w:t xml:space="preserve">III. Gestión del Cronograma del Proyecto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Definición según PMBOK 6.ª Edición:</w:t>
      </w:r>
    </w:p>
    <w:p>
      <w:pPr>
        <w:pBdr>
          <w:left w:val="single" w:color="C0292B" w:sz="12" w:space="8"/>
        </w:pBdr>
        <w:shd w:fill="F9F2F2" w:val="clear"/>
        <w:spacing w:after="80" w:before="80" w:line="280"/>
        <w:ind w:left="360" w:right="360"/>
        <w:jc w:val="both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La Gestión del Cronograma del Proyecto incluye los procesos requeridos para administrar la finalización del proyecto a tiempo. (PMBOK 6.ª ed., p. 173)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Aplicación al Proyecto ManttoAI Predictivo: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proyecto ManttoAI Predictivo tiene una duración planificada de 24 semanas, distribuidas en 6 fases. La gestión del cronograma es crítica dado que el entrenamiento y validación del modelo de IA depende de la disponibilidad de datos históricos de los sensores, lo cual puede generar dependencias críticas entre tareas.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Procesos aplicados: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0292B" w:sz="8"/>
              <w:left w:val="single" w:color="C0292B" w:sz="8"/>
              <w:bottom w:val="single" w:color="C0292B" w:sz="8"/>
              <w:right w:val="single" w:color="C0292B" w:sz="8"/>
            </w:tcBorders>
            <w:shd w:fill="C02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Proceso</w:t>
            </w:r>
          </w:p>
        </w:tc>
        <w:tc>
          <w:tcPr>
            <w:tcW w:type="dxa" w:w="6360"/>
            <w:tcBorders>
              <w:top w:val="single" w:color="C0292B" w:sz="8"/>
              <w:left w:val="single" w:color="C0292B" w:sz="8"/>
              <w:bottom w:val="single" w:color="C0292B" w:sz="8"/>
              <w:right w:val="single" w:color="C0292B" w:sz="8"/>
            </w:tcBorders>
            <w:shd w:fill="C02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Aplicación en ManttoAI Predictivo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Planificar la Gestión del Cronograma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adoptó una metodología ágil-cascada híbrida, con sprints quincenales para el desarrollo del modelo IA y fases secuenciales para la infraestructura IoT.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Definir las Actividades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identificaron 20 actividades principales agrupadas en fases: recolección de datos, preprocesamiento, selección de modelo, entrenamiento, validación, integración y despliegue.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Secuenciar las Actividades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establecieron dependencias: el entrenamiento del modelo no puede iniciar sin al menos 3 meses de datos históricos de sensores, y el despliegue requiere superar el umbral de 85% de precisión.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Estimar la Duración de las Actividades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aplicó la técnica de estimación por tres valores (optimista, más probable, pesimista) para actividades con alta incertidumbre, como el ajuste de hiperparámetros del modelo.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Desarrollar el Cronograma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elaboró un Diagrama de Gantt con hitos clave: prototipo funcional en la semana 12, piloto en producción en la semana 20 y entrega final en la semana 24.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Controlar el Cronograma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utiliza el índice de desempeño del cronograma (SPI) para detectar desvíos tempranos y aplicar medidas correctivas como paralelización de tareas de testing.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C02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C0292B"/>
          <w:sz w:val="28"/>
          <w:szCs w:val="28"/>
        </w:rPr>
        <w:t xml:space="preserve">IV. Gestión de los Costos del Proyecto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Definición según PMBOK 6.ª Edición:</w:t>
      </w:r>
    </w:p>
    <w:p>
      <w:pPr>
        <w:pBdr>
          <w:left w:val="single" w:color="C0292B" w:sz="12" w:space="8"/>
        </w:pBdr>
        <w:shd w:fill="F9F2F2" w:val="clear"/>
        <w:spacing w:after="80" w:before="80" w:line="280"/>
        <w:ind w:left="360" w:right="360"/>
        <w:jc w:val="both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La Gestión de los Costos del Proyecto incluye los procesos involucrados en planificar, estimar, presupuestar, financiar, obtener financiamiento, gestionar y controlar los costos de modo que se complete el proyecto dentro del presupuesto aprobado. (PMBOK 6.ª ed., p. 231)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Aplicación al Proyecto ManttoAI Predictivo: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presupuesto de ManttoAI Predictivo contempla inversión en infraestructura cloud (AWS/Azure para el entrenamiento del modelo), licencias de herramientas de análisis de datos, sensores IoT industriales y el costo del equipo de desarrollo. Se estableció una reserva de contingencia del 15% para cubrir eventuales retrasos en la obtención de datos de entrenamiento.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Procesos aplicados: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0292B" w:sz="8"/>
              <w:left w:val="single" w:color="C0292B" w:sz="8"/>
              <w:bottom w:val="single" w:color="C0292B" w:sz="8"/>
              <w:right w:val="single" w:color="C0292B" w:sz="8"/>
            </w:tcBorders>
            <w:shd w:fill="C02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Proceso</w:t>
            </w:r>
          </w:p>
        </w:tc>
        <w:tc>
          <w:tcPr>
            <w:tcW w:type="dxa" w:w="6360"/>
            <w:tcBorders>
              <w:top w:val="single" w:color="C0292B" w:sz="8"/>
              <w:left w:val="single" w:color="C0292B" w:sz="8"/>
              <w:bottom w:val="single" w:color="C0292B" w:sz="8"/>
              <w:right w:val="single" w:color="C0292B" w:sz="8"/>
            </w:tcBorders>
            <w:shd w:fill="C02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Aplicación en ManttoAI Predictivo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Planificar la Gestión de los Costos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definió que el control de costos se realizará mensualmente, con revisiones de variación de costos (CV) y variación del cronograma (SV) usando la técnica de Valor Ganado (EVM).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Estimar los Costos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utilizó estimación análoga basada en proyectos similares de mantenimiento predictivo y estimación paramétrica para los costos de infraestructura cloud según el volumen de datos esperado.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Determinar el Presupuesto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consolidó la línea base de costos integrando: RRHH (60%), infraestructura tecnológica (25%), licencias y herramientas (10%) y reserva de gestión (5%).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Controlar los Costos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El seguimiento mensual compara el Costo Real (AC) contra el Valor Planificado (PV) y el Valor Ganado (EV), generando alertas cuando el CPI cae por debajo de 0,90.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C02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C0292B"/>
          <w:sz w:val="28"/>
          <w:szCs w:val="28"/>
        </w:rPr>
        <w:t xml:space="preserve">V. Gestión de la Calidad del Proyecto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Definición según PMBOK 6.ª Edición:</w:t>
      </w:r>
    </w:p>
    <w:p>
      <w:pPr>
        <w:pBdr>
          <w:left w:val="single" w:color="C0292B" w:sz="12" w:space="8"/>
        </w:pBdr>
        <w:shd w:fill="F9F2F2" w:val="clear"/>
        <w:spacing w:after="80" w:before="80" w:line="280"/>
        <w:ind w:left="360" w:right="360"/>
        <w:jc w:val="both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La Gestión de la Calidad del Proyecto incluye los procesos para incorporar la política de calidad de la organización en cuanto a la planificación, gestión y control de los requisitos de calidad del proyecto y el producto, a fin de satisfacer las expectativas de los interesados. (PMBOK 6.ª ed., p. 271)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Aplicación al Proyecto ManttoAI Predictivo: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La calidad en ManttoAI Predictivo se mide en dos dimensiones: la calidad del proceso de desarrollo (adherencia a estándares de codificación, cobertura de pruebas unitarias mayor al 80%) y la calidad del producto (precisión del modelo predictivo superior al 85%, tasa de falsos positivos inferior al 10%). El incumplimiento de estos umbrales implica una revisión obligatoria del modelo.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Procesos aplicados: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0292B" w:sz="8"/>
              <w:left w:val="single" w:color="C0292B" w:sz="8"/>
              <w:bottom w:val="single" w:color="C0292B" w:sz="8"/>
              <w:right w:val="single" w:color="C0292B" w:sz="8"/>
            </w:tcBorders>
            <w:shd w:fill="C02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Proceso</w:t>
            </w:r>
          </w:p>
        </w:tc>
        <w:tc>
          <w:tcPr>
            <w:tcW w:type="dxa" w:w="6360"/>
            <w:tcBorders>
              <w:top w:val="single" w:color="C0292B" w:sz="8"/>
              <w:left w:val="single" w:color="C0292B" w:sz="8"/>
              <w:bottom w:val="single" w:color="C0292B" w:sz="8"/>
              <w:right w:val="single" w:color="C0292B" w:sz="8"/>
            </w:tcBorders>
            <w:shd w:fill="C02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Aplicación en ManttoAI Predictivo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Planificar la Gestión de la Calidad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definieron métricas de calidad para el modelo de IA (precisión, recall, F1-score), para el sistema IoT (latencia de transmisión &lt; 500ms) y para la experiencia de usuario del dashboard (tiempo de carga &lt; 2 segundos).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Gestionar la Calidad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realizan auditorías internas de código con revisiones entre pares (peer reviews) y revisiones formales del modelo predictivo con el equipo de mantenimiento antes de cada entrega.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Controlar la Calidad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ejecutan pruebas de validación cruzada del modelo con datos reales, pruebas de carga del sistema y pruebas de usuario con operadores de planta para garantizar la usabilidad del dashboard.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C02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C0292B"/>
          <w:sz w:val="28"/>
          <w:szCs w:val="28"/>
        </w:rPr>
        <w:t xml:space="preserve">VI. Gestión de los Recursos del Proyecto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Definición según PMBOK 6.ª Edición:</w:t>
      </w:r>
    </w:p>
    <w:p>
      <w:pPr>
        <w:pBdr>
          <w:left w:val="single" w:color="C0292B" w:sz="12" w:space="8"/>
        </w:pBdr>
        <w:shd w:fill="F9F2F2" w:val="clear"/>
        <w:spacing w:after="80" w:before="80" w:line="280"/>
        <w:ind w:left="360" w:right="360"/>
        <w:jc w:val="both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La Gestión de los Recursos del Proyecto incluye los procesos para identificar, adquirir y gestionar los recursos necesarios para la conclusión exitosa del proyecto. (PMBOK 6.ª ed., p. 307)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Aplicación al Proyecto ManttoAI Predictivo: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El equipo de ManttoAI Predictivo está compuesto por perfiles multidisciplinarios que combinan competencias en ingeniería de software, ciencia de datos e ingeniería industrial. La gestión efectiva de estos recursos es esencial dado que algunos perfiles especializados (como el Data Scientist con experiencia en mantenimiento industrial) son escasos y tienen alta demanda en el mercado.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Procesos aplicados: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0292B" w:sz="8"/>
              <w:left w:val="single" w:color="C0292B" w:sz="8"/>
              <w:bottom w:val="single" w:color="C0292B" w:sz="8"/>
              <w:right w:val="single" w:color="C0292B" w:sz="8"/>
            </w:tcBorders>
            <w:shd w:fill="C02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Proceso</w:t>
            </w:r>
          </w:p>
        </w:tc>
        <w:tc>
          <w:tcPr>
            <w:tcW w:type="dxa" w:w="6360"/>
            <w:tcBorders>
              <w:top w:val="single" w:color="C0292B" w:sz="8"/>
              <w:left w:val="single" w:color="C0292B" w:sz="8"/>
              <w:bottom w:val="single" w:color="C0292B" w:sz="8"/>
              <w:right w:val="single" w:color="C0292B" w:sz="8"/>
            </w:tcBorders>
            <w:shd w:fill="C02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Aplicación en ManttoAI Predictivo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Planificar la Gestión de Recursos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elaboró el organigrama del proyecto y la matriz RACI, definiendo responsabilidades para el Líder de Proyecto, Data Scientists, Desarrolladores Backend/Frontend e Ingenieros IoT.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Estimar los Recursos de las Actividades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determinaron las necesidades por fase: 2 Data Scientists para el entrenamiento del modelo, 3 desarrolladores para la integración del sistema y 1 ingeniero de infraestructura cloud.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Adquirir Recursos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formalizó la contratación del equipo de desarrollo y se solicitó acceso a la infraestructura cloud corporativa para el entrenamiento de modelos de machine learning.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Desarrollar el Equipo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organizaron sesiones de capacitación en herramientas de MLOps (MLflow, DVC) y en protocolos de comunicación IoT (MQTT, OPC-UA) para nivelar conocimientos del equipo.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Dirigir al Equipo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El director de proyecto realiza reuniones semanales de seguimiento, resuelve impedimentos y facilita la comunicación entre el equipo técnico y los stakeholders de mantenimiento.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Controlar los Recursos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monitorea la utilización de los recursos para evitar sobre-asignación, utilizando un tablero Kanban para la gestión de tareas y detectando cuellos de botella en el desarrollo del modelo.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C02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C0292B"/>
          <w:sz w:val="28"/>
          <w:szCs w:val="28"/>
        </w:rPr>
        <w:t xml:space="preserve">VII. Gestión de las Comunicaciones del Proyecto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Definición según PMBOK 6.ª Edición:</w:t>
      </w:r>
    </w:p>
    <w:p>
      <w:pPr>
        <w:pBdr>
          <w:left w:val="single" w:color="C0292B" w:sz="12" w:space="8"/>
        </w:pBdr>
        <w:shd w:fill="F9F2F2" w:val="clear"/>
        <w:spacing w:after="80" w:before="80" w:line="280"/>
        <w:ind w:left="360" w:right="360"/>
        <w:jc w:val="both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La Gestión de las Comunicaciones del Proyecto incluye los procesos requeridos para garantizar que la planificación, recopilación, creación, distribución, almacenamiento, recuperación, gestión, control, monitoreo y disposición final de la información del proyecto sean oportunos y adecuados. (PMBOK 6.ª ed., p. 359)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Aplicación al Proyecto ManttoAI Predictivo: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En ManttoAI Predictivo, la comunicación efectiva entre el equipo técnico y los operadores de planta es crítica para garantizar que el sistema responda a las necesidades reales del mantenimiento. Se establecieron canales formales (reportes semanales al patrocinador) e informales (chat de equipo para coordinación técnica diaria), así como protocolos específicos para la comunicación de alertas críticas del sistema.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Procesos aplicados: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0292B" w:sz="8"/>
              <w:left w:val="single" w:color="C0292B" w:sz="8"/>
              <w:bottom w:val="single" w:color="C0292B" w:sz="8"/>
              <w:right w:val="single" w:color="C0292B" w:sz="8"/>
            </w:tcBorders>
            <w:shd w:fill="C02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Proceso</w:t>
            </w:r>
          </w:p>
        </w:tc>
        <w:tc>
          <w:tcPr>
            <w:tcW w:type="dxa" w:w="6360"/>
            <w:tcBorders>
              <w:top w:val="single" w:color="C0292B" w:sz="8"/>
              <w:left w:val="single" w:color="C0292B" w:sz="8"/>
              <w:bottom w:val="single" w:color="C0292B" w:sz="8"/>
              <w:right w:val="single" w:color="C0292B" w:sz="8"/>
            </w:tcBorders>
            <w:shd w:fill="C02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Aplicación en ManttoAI Predictivo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Planificar la Gestión de las Comunicaciones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elaboró la Matriz de Comunicaciones que define: qué información se comunica, a quién, con qué frecuencia y a través de qué canal (correo electrónico, reunión presencial, dashboard en tiempo real, informe PDF mensual).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Gestionar las Comunicaciones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Los reportes de avance semanal se distribuyen al patrocinador y al equipo de mantenimiento cada viernes. El estado del modelo predictivo se actualiza en el dashboard del sistema en tiempo real.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Monitorear las Comunicaciones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verifica periódicamente que la información llegue a los destinatarios correctos, que las alertas del sistema sean recibidas y atendidas dentro de los tiempos establecidos, y que el equipo técnico y los operadores mantengan un canal de retroalimentación activo.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C02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C0292B"/>
          <w:sz w:val="28"/>
          <w:szCs w:val="28"/>
        </w:rPr>
        <w:t xml:space="preserve">VIII. Gestión de los Riesgos del Proyecto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Definición según PMBOK 6.ª Edición:</w:t>
      </w:r>
    </w:p>
    <w:p>
      <w:pPr>
        <w:pBdr>
          <w:left w:val="single" w:color="C0292B" w:sz="12" w:space="8"/>
        </w:pBdr>
        <w:shd w:fill="F9F2F2" w:val="clear"/>
        <w:spacing w:after="80" w:before="80" w:line="280"/>
        <w:ind w:left="360" w:right="360"/>
        <w:jc w:val="both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La Gestión de los Riesgos del Proyecto incluye los procesos para llevar a cabo la planificación de la gestión, identificación, análisis, planificación de respuesta, implementación de respuesta y monitoreo de los riesgos de un proyecto. (PMBOK 6.ª ed., p. 395)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Aplicación al Proyecto ManttoAI Predictivo: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ManttoAI Predictivo enfrenta riesgos técnicos significativos asociados a la calidad y cantidad de datos históricos de los equipos, la precisión del modelo predictivo en condiciones reales de producción y la resistencia al cambio por parte de los operadores. Se identificaron y priorizaron 12 riesgos clave mediante una Matriz de Probabilidad e Impacto.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Procesos aplicados: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0292B" w:sz="8"/>
              <w:left w:val="single" w:color="C0292B" w:sz="8"/>
              <w:bottom w:val="single" w:color="C0292B" w:sz="8"/>
              <w:right w:val="single" w:color="C0292B" w:sz="8"/>
            </w:tcBorders>
            <w:shd w:fill="C02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Proceso</w:t>
            </w:r>
          </w:p>
        </w:tc>
        <w:tc>
          <w:tcPr>
            <w:tcW w:type="dxa" w:w="6360"/>
            <w:tcBorders>
              <w:top w:val="single" w:color="C0292B" w:sz="8"/>
              <w:left w:val="single" w:color="C0292B" w:sz="8"/>
              <w:bottom w:val="single" w:color="C0292B" w:sz="8"/>
              <w:right w:val="single" w:color="C0292B" w:sz="8"/>
            </w:tcBorders>
            <w:shd w:fill="C02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Aplicación en ManttoAI Predictivo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Planificar la Gestión de Riesgos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definió la metodología de identificación y respuesta ante riesgos, estableciendo umbrales de tolerancia al riesgo acordados con el patrocinador del proyecto.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Identificar los Riesgos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Mediante sesiones de lluvia de ideas con el equipo técnico y el equipo de mantenimiento se identificaron riesgos como: datos de sensores incompletos o ruidosos, fallo en la integración IoT, modelo con bajo rendimiento en producción y resistencia al cambio organizacional.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Realizar el Análisis Cualitativo de Riesgos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Los riesgos se priorizaron en la Matriz Probabilidad-Impacto, identificando como riesgos críticos: calidad de datos insuficiente (P: Alta, I: Alto) y resistencia al cambio de operadores (P: Media, I: Alto).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Realizar el Análisis Cuantitativo de Riesgos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estimó el impacto económico de los principales riesgos, determinando que un retraso de 4 semanas en la obtención de datos podría incrementar los costos del proyecto en un 20%.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Planificar la Respuesta a los Riesgos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Para datos insuficientes: estrategia de mitigación con técnicas de data augmentation. Para resistencia al cambio: estrategia de aceptación con plan de gestión del cambio organizacional incluido.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Monitorear los Riesgos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El registro de riesgos se actualiza quincenalmente y se revisa en cada reunión de seguimiento del proyecto, identificando nuevos riesgos emergentes especialmente en las fases de integración y pruebas.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C02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C0292B"/>
          <w:sz w:val="28"/>
          <w:szCs w:val="28"/>
        </w:rPr>
        <w:t xml:space="preserve">IX. Gestión de las Adquisiciones del Proyecto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Definición según PMBOK 6.ª Edición:</w:t>
      </w:r>
    </w:p>
    <w:p>
      <w:pPr>
        <w:pBdr>
          <w:left w:val="single" w:color="C0292B" w:sz="12" w:space="8"/>
        </w:pBdr>
        <w:shd w:fill="F9F2F2" w:val="clear"/>
        <w:spacing w:after="80" w:before="80" w:line="280"/>
        <w:ind w:left="360" w:right="360"/>
        <w:jc w:val="both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La Gestión de las Adquisiciones del Proyecto incluye los procesos necesarios para la compra o adquisición de los productos, servicios o resultados requeridos por fuera del equipo del proyecto. (PMBOK 6.ª ed., p. 459)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Aplicación al Proyecto ManttoAI Predictivo: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Para ManttoAI Predictivo se requiere la adquisición de sensores IoT industriales (vibración, temperatura, corriente eléctrica), servicios de infraestructura cloud para el entrenamiento de modelos (GPU Computing), herramientas de MLOps y potencialmente servicios de consultoría especializada en mantenimiento predictivo industrial. Todas las adquisiciones se rigen por los procedimientos de compra de la organización.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Procesos aplicados: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0292B" w:sz="8"/>
              <w:left w:val="single" w:color="C0292B" w:sz="8"/>
              <w:bottom w:val="single" w:color="C0292B" w:sz="8"/>
              <w:right w:val="single" w:color="C0292B" w:sz="8"/>
            </w:tcBorders>
            <w:shd w:fill="C02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Proceso</w:t>
            </w:r>
          </w:p>
        </w:tc>
        <w:tc>
          <w:tcPr>
            <w:tcW w:type="dxa" w:w="6360"/>
            <w:tcBorders>
              <w:top w:val="single" w:color="C0292B" w:sz="8"/>
              <w:left w:val="single" w:color="C0292B" w:sz="8"/>
              <w:bottom w:val="single" w:color="C0292B" w:sz="8"/>
              <w:right w:val="single" w:color="C0292B" w:sz="8"/>
            </w:tcBorders>
            <w:shd w:fill="C02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Aplicación en ManttoAI Predictivo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Planificar la Gestión de las Adquisiciones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determinó que los sensores IoT serán adquiridos mediante licitación a proveedores especializados, mientras que la infraestructura cloud se contratará bajo modelo pago-por-uso (AWS EC2 con GPU) para optimizar costos de entrenamiento.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Efectuar las Adquisiciones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gestionó la licitación de sensores industriales (acelerómetros MEMS, termopares industriales y transformadores de corriente), evaluando proveedores según criterios técnicos, costo y soporte local.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Controlar las Adquisiciones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verifica el cumplimiento de los contratos con proveedores de sensores mediante pruebas de calibración y certificados de calidad. El servicio cloud se monitorea mensualmente para optimizar costos según el uso real de cómputo.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C0292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C0292B"/>
          <w:sz w:val="28"/>
          <w:szCs w:val="28"/>
        </w:rPr>
        <w:t xml:space="preserve">X. Gestión de los Interesados del Proyecto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Definición según PMBOK 6.ª Edición:</w:t>
      </w:r>
    </w:p>
    <w:p>
      <w:pPr>
        <w:pBdr>
          <w:left w:val="single" w:color="C0292B" w:sz="12" w:space="8"/>
        </w:pBdr>
        <w:shd w:fill="F9F2F2" w:val="clear"/>
        <w:spacing w:after="80" w:before="80" w:line="280"/>
        <w:ind w:left="360" w:right="360"/>
        <w:jc w:val="both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La Gestión de los Interesados del Proyecto incluye los procesos requeridos para identificar a las personas, grupos u organizaciones que pueden afectar o ser afectados por el proyecto, para analizar las expectativas de los interesados y su impacto en el proyecto, y para desarrollar estrategias de gestión adecuadas. (PMBOK 6.ª ed., p. 503)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Aplicación al Proyecto ManttoAI Predictivo:</w:t>
      </w:r>
    </w:p>
    <w:p>
      <w:pPr>
        <w:spacing w:after="80" w:before="80" w:line="280"/>
        <w:jc w:val="both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ManttoAI Predictivo involucra múltiples interesados con diferentes expectativas y niveles de influencia. La alta gerencia espera reducción de costos de mantenimiento no planificado; los operadores de planta esperan un sistema intuitivo que no interrumpa sus flujos de trabajo; el equipo de TI espera una solución que cumpla los estándares de seguridad corporativos; y el equipo de mantenimiento espera alertas confiables que reduzcan las falsas alarmas.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Procesos aplicados: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0292B" w:sz="8"/>
              <w:left w:val="single" w:color="C0292B" w:sz="8"/>
              <w:bottom w:val="single" w:color="C0292B" w:sz="8"/>
              <w:right w:val="single" w:color="C0292B" w:sz="8"/>
            </w:tcBorders>
            <w:shd w:fill="C02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Proceso</w:t>
            </w:r>
          </w:p>
        </w:tc>
        <w:tc>
          <w:tcPr>
            <w:tcW w:type="dxa" w:w="6360"/>
            <w:tcBorders>
              <w:top w:val="single" w:color="C0292B" w:sz="8"/>
              <w:left w:val="single" w:color="C0292B" w:sz="8"/>
              <w:bottom w:val="single" w:color="C0292B" w:sz="8"/>
              <w:right w:val="single" w:color="C0292B" w:sz="8"/>
            </w:tcBorders>
            <w:shd w:fill="C02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Aplicación en ManttoAI Predictivo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Identificar a los Interesados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identificaron los siguientes stakeholders clave: Gerente de Operaciones (patrocinador), Jefe de Mantenimiento (usuario principal), Operadores de Planta (usuarios finales), Equipo de TI (soporte técnico), Proveedor de Sensores y Equipo de Desarrollo.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Planificar el Involucramiento de los Interesados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elaboró la Matriz de Involucramiento clasificando cada interesado según su nivel actual y deseado de participación (desconocedor, reticente, neutral, partidario, líder), priorizando la conversión de los operadores reticentes en usuarios activos.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Gestionar el Involucramiento de los Interesados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organizaron talleres de co-diseño del dashboard con los operadores de planta para garantizar que la interfaz se ajuste a sus necesidades reales. Se realizan demostraciones mensuales al Gerente de Operaciones para mantener su respaldo.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292B"/>
                <w:sz w:val="20"/>
                <w:szCs w:val="20"/>
              </w:rPr>
              <w:t xml:space="preserve">Monitorear el Involucramiento de los Interesados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 realiza seguimiento trimestral del nivel de satisfacción de los interesados mediante encuestas cortas y reuniones de feedback, ajustando las estrategias de comunicación y participación según los resultados obtenidos.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292B" w:sz="6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PMBOK 6.ª Edición  |  Página </w:t>
    </w:r>
    <w:r>
      <w:rPr>
        <w:rFonts w:ascii="Arial" w:cs="Arial" w:eastAsia="Arial" w:hAnsi="Arial"/>
        <w:b/>
        <w:bCs/>
        <w:color w:val="C0292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292B" w:sz="6" w:space="4"/>
      </w:pBdr>
      <w:spacing w:after="80" w:before="0"/>
      <w:jc w:val="right"/>
    </w:pPr>
    <w:r>
      <w:rPr>
        <w:rFonts w:ascii="Arial" w:cs="Arial" w:eastAsia="Arial" w:hAnsi="Arial"/>
        <w:color w:val="C0292B"/>
        <w:sz w:val="18"/>
        <w:szCs w:val="18"/>
      </w:rPr>
      <w:t xml:space="preserve">Gestión de Proyectos Informáticos  |  ManttoAI Predictivo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2026-04-09T18:30:14.186Z</dcterms:created>
  <dcterms:modified xsi:type="dcterms:W3CDTF">2026-04-09T18:30:14.187Z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