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393F" w14:textId="77777777" w:rsidR="0026285F" w:rsidRDefault="00E627C4">
      <w:pPr>
        <w:pBdr>
          <w:top w:val="nil"/>
          <w:left w:val="nil"/>
          <w:bottom w:val="nil"/>
          <w:right w:val="nil"/>
          <w:between w:val="nil"/>
        </w:pBdr>
        <w:suppressAutoHyphens/>
        <w:spacing w:after="240"/>
        <w:jc w:val="center"/>
        <w:rPr>
          <w:b/>
          <w:bCs/>
          <w:color w:val="000000"/>
          <w:sz w:val="30"/>
          <w:szCs w:val="30"/>
        </w:rPr>
        <w:sectPr w:rsidR="0026285F">
          <w:headerReference w:type="default" r:id="rId8"/>
          <w:footerReference w:type="default" r:id="rId9"/>
          <w:pgSz w:w="11906" w:h="16838"/>
          <w:pgMar w:top="1417" w:right="1417" w:bottom="1417" w:left="1417" w:header="0" w:footer="0" w:gutter="0"/>
          <w:pgNumType w:start="1"/>
          <w:cols w:space="720"/>
        </w:sectPr>
      </w:pPr>
      <w:r>
        <w:rPr>
          <w:b/>
          <w:sz w:val="30"/>
        </w:rPr>
        <w:t>THE ORDER MATTERS:</w:t>
      </w:r>
      <w:r>
        <w:rPr>
          <w:b/>
          <w:sz w:val="30"/>
        </w:rPr>
        <w:br/>
        <w:t>PATH DEPENDENCE IN ADAPTIVE RUBRIC-BASED LLM JUDGING</w:t>
      </w:r>
    </w:p>
    <w:p w14:paraId="3C63CDE6" w14:textId="77777777" w:rsidR="0026285F" w:rsidRDefault="0026285F">
      <w:pPr>
        <w:widowControl w:val="0"/>
        <w:pBdr>
          <w:top w:val="nil"/>
          <w:left w:val="nil"/>
          <w:bottom w:val="nil"/>
          <w:right w:val="nil"/>
          <w:between w:val="nil"/>
        </w:pBdr>
        <w:spacing w:line="276" w:lineRule="auto"/>
        <w:rPr>
          <w:b/>
          <w:bCs/>
          <w:color w:val="000000"/>
          <w:sz w:val="30"/>
          <w:szCs w:val="30"/>
        </w:rPr>
      </w:pPr>
    </w:p>
    <w:tbl>
      <w:tblPr>
        <w:tblStyle w:val="a2"/>
        <w:tblW w:w="8182" w:type="dxa"/>
        <w:jc w:val="center"/>
        <w:tblLayout w:type="fixed"/>
        <w:tblLook w:val="0000" w:firstRow="0" w:lastRow="0" w:firstColumn="0" w:lastColumn="0" w:noHBand="0" w:noVBand="0"/>
      </w:tblPr>
      <w:tblGrid>
        <w:gridCol w:w="8182"/>
      </w:tblGrid>
      <w:tr w:rsidR="0026285F" w14:paraId="10FC3365" w14:textId="77777777">
        <w:trPr>
          <w:jc w:val="center"/>
        </w:trPr>
        <w:tc>
          <w:tcPr>
            <w:tcW w:w="8182" w:type="dxa"/>
            <w:vAlign w:val="center"/>
          </w:tcPr>
          <w:p w14:paraId="5BDECA3E" w14:textId="77777777" w:rsidR="003A293D" w:rsidRDefault="00E627C4">
            <w:pPr>
              <w:widowControl w:val="0"/>
              <w:pBdr>
                <w:top w:val="nil"/>
                <w:left w:val="nil"/>
                <w:bottom w:val="nil"/>
                <w:right w:val="nil"/>
                <w:between w:val="nil"/>
              </w:pBdr>
              <w:jc w:val="center"/>
              <w:rPr>
                <w:rFonts w:cs="Times New Roman"/>
                <w:color w:val="000000"/>
              </w:rPr>
            </w:pPr>
            <w:r>
              <w:rPr>
                <w:rFonts w:cs="Times New Roman"/>
                <w:color w:val="000000"/>
              </w:rPr>
              <w:t>SEBASTIAN TONU</w:t>
            </w:r>
            <w:r w:rsidR="003A293D" w:rsidRPr="003A293D">
              <w:rPr>
                <w:rFonts w:cs="Times New Roman"/>
                <w:color w:val="000000"/>
                <w:vertAlign w:val="superscript"/>
              </w:rPr>
              <w:t>1</w:t>
            </w:r>
            <w:r w:rsidR="002945D0">
              <w:rPr>
                <w:rFonts w:cs="Times New Roman"/>
                <w:color w:val="000000"/>
              </w:rPr>
              <w:t xml:space="preserve">, </w:t>
            </w:r>
            <w:r>
              <w:rPr>
                <w:rFonts w:cs="Times New Roman"/>
                <w:color w:val="000000"/>
              </w:rPr>
              <w:t>IOANA-ALEXANDRA TONU</w:t>
            </w:r>
            <w:r w:rsidR="003A293D" w:rsidRPr="0017472E">
              <w:rPr>
                <w:rFonts w:cs="Times New Roman"/>
                <w:color w:val="000000"/>
                <w:vertAlign w:val="superscript"/>
              </w:rPr>
              <w:t>1</w:t>
            </w:r>
            <w:r>
              <w:rPr>
                <w:rFonts w:cs="Times New Roman"/>
                <w:color w:val="000000"/>
              </w:rPr>
              <w:t>,</w:t>
            </w:r>
            <w:r w:rsidR="003A293D">
              <w:rPr>
                <w:rFonts w:cs="Times New Roman"/>
                <w:color w:val="000000"/>
              </w:rPr>
              <w:t xml:space="preserve"> </w:t>
            </w:r>
          </w:p>
          <w:p w14:paraId="0D0196A0" w14:textId="77777777" w:rsidR="0026285F" w:rsidRPr="00E627C4" w:rsidRDefault="003A293D">
            <w:pPr>
              <w:widowControl w:val="0"/>
              <w:pBdr>
                <w:top w:val="nil"/>
                <w:left w:val="nil"/>
                <w:bottom w:val="nil"/>
                <w:right w:val="nil"/>
                <w:between w:val="nil"/>
              </w:pBdr>
              <w:jc w:val="center"/>
              <w:rPr>
                <w:color w:val="000000"/>
                <w:sz w:val="26"/>
                <w:szCs w:val="26"/>
                <w:lang w:val="ro-RO"/>
              </w:rPr>
            </w:pPr>
            <w:r>
              <w:rPr>
                <w:rFonts w:cs="Times New Roman"/>
                <w:color w:val="000000"/>
              </w:rPr>
              <w:t>MARIUS-ALEXANDRU OLARU</w:t>
            </w:r>
            <w:r w:rsidR="0017472E" w:rsidRPr="0017472E">
              <w:rPr>
                <w:rFonts w:cs="Times New Roman"/>
                <w:color w:val="000000"/>
                <w:vertAlign w:val="superscript"/>
              </w:rPr>
              <w:t>2</w:t>
            </w:r>
            <w:r>
              <w:rPr>
                <w:rFonts w:cs="Times New Roman"/>
                <w:color w:val="000000"/>
              </w:rPr>
              <w:t>,</w:t>
            </w:r>
            <w:r w:rsidR="00E627C4">
              <w:rPr>
                <w:rFonts w:cs="Times New Roman"/>
                <w:color w:val="000000"/>
              </w:rPr>
              <w:t xml:space="preserve"> </w:t>
            </w:r>
            <w:r w:rsidR="00E627C4">
              <w:rPr>
                <w:rFonts w:cs="Times New Roman"/>
                <w:color w:val="000000"/>
                <w:lang w:val="ro-RO"/>
              </w:rPr>
              <w:t>ȘTEFAN-DANIEL ACHIREI</w:t>
            </w:r>
            <w:r w:rsidRPr="0017472E">
              <w:rPr>
                <w:rFonts w:cs="Times New Roman"/>
                <w:color w:val="000000"/>
                <w:vertAlign w:val="superscript"/>
                <w:lang w:val="ro-RO"/>
              </w:rPr>
              <w:t>1</w:t>
            </w:r>
          </w:p>
        </w:tc>
      </w:tr>
      <w:tr w:rsidR="0026285F" w14:paraId="2E847F6B" w14:textId="77777777">
        <w:trPr>
          <w:jc w:val="center"/>
        </w:trPr>
        <w:tc>
          <w:tcPr>
            <w:tcW w:w="8182" w:type="dxa"/>
            <w:vAlign w:val="center"/>
          </w:tcPr>
          <w:p w14:paraId="364C772B" w14:textId="77777777" w:rsidR="0026285F" w:rsidRDefault="0026285F">
            <w:pPr>
              <w:widowControl w:val="0"/>
              <w:pBdr>
                <w:top w:val="nil"/>
                <w:left w:val="nil"/>
                <w:bottom w:val="nil"/>
                <w:right w:val="nil"/>
                <w:between w:val="nil"/>
              </w:pBdr>
              <w:jc w:val="center"/>
              <w:rPr>
                <w:color w:val="000000"/>
              </w:rPr>
            </w:pPr>
          </w:p>
        </w:tc>
      </w:tr>
      <w:tr w:rsidR="0026285F" w14:paraId="0FD28A35" w14:textId="77777777">
        <w:trPr>
          <w:trHeight w:val="83"/>
          <w:jc w:val="center"/>
        </w:trPr>
        <w:tc>
          <w:tcPr>
            <w:tcW w:w="8182" w:type="dxa"/>
            <w:vAlign w:val="center"/>
          </w:tcPr>
          <w:p w14:paraId="2C18FAB2" w14:textId="77777777" w:rsidR="0026285F" w:rsidRDefault="002945D0">
            <w:pPr>
              <w:widowControl w:val="0"/>
              <w:pBdr>
                <w:top w:val="nil"/>
                <w:left w:val="nil"/>
                <w:bottom w:val="nil"/>
                <w:right w:val="nil"/>
                <w:between w:val="nil"/>
              </w:pBdr>
              <w:jc w:val="center"/>
              <w:rPr>
                <w:rFonts w:cs="Times New Roman"/>
                <w:i/>
                <w:iCs/>
                <w:color w:val="000000"/>
              </w:rPr>
            </w:pPr>
            <w:r>
              <w:rPr>
                <w:rFonts w:cs="Times New Roman"/>
                <w:i/>
                <w:iCs/>
                <w:color w:val="000000"/>
                <w:vertAlign w:val="superscript"/>
              </w:rPr>
              <w:t>1</w:t>
            </w:r>
            <w:r w:rsidR="00DF0A92" w:rsidRPr="00DF0A92">
              <w:rPr>
                <w:rFonts w:cs="Times New Roman"/>
                <w:i/>
                <w:iCs/>
                <w:color w:val="000000"/>
              </w:rPr>
              <w:t>Faculty of Automatic Control and Computer Engineering</w:t>
            </w:r>
            <w:r w:rsidR="00DF0A92">
              <w:rPr>
                <w:rFonts w:cs="Times New Roman"/>
                <w:i/>
                <w:iCs/>
                <w:color w:val="000000"/>
              </w:rPr>
              <w:t xml:space="preserve">, </w:t>
            </w:r>
            <w:r w:rsidR="00C36839" w:rsidRPr="00C36839">
              <w:rPr>
                <w:rFonts w:cs="Times New Roman"/>
                <w:i/>
                <w:iCs/>
                <w:color w:val="000000"/>
              </w:rPr>
              <w:t xml:space="preserve">Gheorghe Asachi Technical University of </w:t>
            </w:r>
            <w:proofErr w:type="spellStart"/>
            <w:r w:rsidR="00C36839" w:rsidRPr="00C36839">
              <w:rPr>
                <w:rFonts w:cs="Times New Roman"/>
                <w:i/>
                <w:iCs/>
                <w:color w:val="000000"/>
              </w:rPr>
              <w:t>Iași</w:t>
            </w:r>
            <w:proofErr w:type="spellEnd"/>
          </w:p>
          <w:p w14:paraId="55565BCD" w14:textId="77777777" w:rsidR="002340D0" w:rsidRDefault="00C36839">
            <w:pPr>
              <w:widowControl w:val="0"/>
              <w:pBdr>
                <w:top w:val="nil"/>
                <w:left w:val="nil"/>
                <w:bottom w:val="nil"/>
                <w:right w:val="nil"/>
                <w:between w:val="nil"/>
              </w:pBdr>
              <w:jc w:val="center"/>
              <w:rPr>
                <w:rFonts w:ascii="Courier New" w:eastAsia="Courier New" w:hAnsi="Courier New" w:cs="Courier New"/>
                <w:color w:val="000000"/>
              </w:rPr>
            </w:pPr>
            <w:r>
              <w:rPr>
                <w:rFonts w:ascii="Courier New" w:eastAsia="Courier New" w:hAnsi="Courier New" w:cs="Courier New"/>
                <w:color w:val="000000"/>
              </w:rPr>
              <w:t>{</w:t>
            </w:r>
            <w:proofErr w:type="spellStart"/>
            <w:proofErr w:type="gramStart"/>
            <w:r>
              <w:rPr>
                <w:rFonts w:ascii="Courier New" w:eastAsia="Courier New" w:hAnsi="Courier New" w:cs="Courier New"/>
                <w:color w:val="000000"/>
              </w:rPr>
              <w:t>sebastian.tonu</w:t>
            </w:r>
            <w:proofErr w:type="spellEnd"/>
            <w:proofErr w:type="gramEnd"/>
            <w:r>
              <w:rPr>
                <w:rFonts w:ascii="Courier New" w:eastAsia="Courier New" w:hAnsi="Courier New" w:cs="Courier New"/>
                <w:color w:val="000000"/>
              </w:rPr>
              <w:t>,</w:t>
            </w:r>
            <w:r>
              <w:t xml:space="preserve"> </w:t>
            </w:r>
            <w:proofErr w:type="spellStart"/>
            <w:r w:rsidRPr="00C36839">
              <w:rPr>
                <w:rFonts w:ascii="Courier New" w:eastAsia="Courier New" w:hAnsi="Courier New" w:cs="Courier New"/>
                <w:color w:val="000000"/>
              </w:rPr>
              <w:t>ioana-</w:t>
            </w:r>
            <w:proofErr w:type="gramStart"/>
            <w:r w:rsidRPr="00C36839">
              <w:rPr>
                <w:rFonts w:ascii="Courier New" w:eastAsia="Courier New" w:hAnsi="Courier New" w:cs="Courier New"/>
                <w:color w:val="000000"/>
              </w:rPr>
              <w:t>alexandra.tonu</w:t>
            </w:r>
            <w:proofErr w:type="spellEnd"/>
            <w:proofErr w:type="gramEnd"/>
            <w:r w:rsidR="002340D0">
              <w:rPr>
                <w:rFonts w:ascii="Courier New" w:eastAsia="Courier New" w:hAnsi="Courier New" w:cs="Courier New"/>
                <w:color w:val="000000"/>
              </w:rPr>
              <w:t>,</w:t>
            </w:r>
            <w:r w:rsidRPr="00C36839">
              <w:rPr>
                <w:rFonts w:ascii="Courier New" w:eastAsia="Courier New" w:hAnsi="Courier New" w:cs="Courier New"/>
                <w:color w:val="000000"/>
              </w:rPr>
              <w:t xml:space="preserve"> </w:t>
            </w:r>
          </w:p>
          <w:p w14:paraId="6D0C98D8" w14:textId="77777777" w:rsidR="0026285F" w:rsidRDefault="002340D0">
            <w:pPr>
              <w:widowControl w:val="0"/>
              <w:pBdr>
                <w:top w:val="nil"/>
                <w:left w:val="nil"/>
                <w:bottom w:val="nil"/>
                <w:right w:val="nil"/>
                <w:between w:val="nil"/>
              </w:pBdr>
              <w:jc w:val="center"/>
              <w:rPr>
                <w:rFonts w:ascii="Courier New" w:eastAsia="Courier New" w:hAnsi="Courier New" w:cs="Courier New"/>
                <w:color w:val="000000"/>
              </w:rPr>
            </w:pPr>
            <w:proofErr w:type="spellStart"/>
            <w:r w:rsidRPr="002340D0">
              <w:rPr>
                <w:rFonts w:ascii="Courier New" w:eastAsia="Courier New" w:hAnsi="Courier New" w:cs="Courier New"/>
                <w:color w:val="000000"/>
              </w:rPr>
              <w:t>stefan-daniel.achirei</w:t>
            </w:r>
            <w:proofErr w:type="spellEnd"/>
            <w:r w:rsidR="00C36839">
              <w:rPr>
                <w:rFonts w:ascii="Courier New" w:eastAsia="Courier New" w:hAnsi="Courier New" w:cs="Courier New"/>
                <w:color w:val="000000"/>
                <w:lang w:val="en-US"/>
              </w:rPr>
              <w:t>}</w:t>
            </w:r>
            <w:r w:rsidR="00C36839">
              <w:rPr>
                <w:rFonts w:ascii="Courier New" w:eastAsia="Courier New" w:hAnsi="Courier New" w:cs="Courier New"/>
                <w:color w:val="000000"/>
              </w:rPr>
              <w:t>@academic.tuiasi.ro</w:t>
            </w:r>
          </w:p>
          <w:p w14:paraId="17507A5A" w14:textId="77777777" w:rsidR="0026285F" w:rsidRDefault="002945D0">
            <w:pPr>
              <w:widowControl w:val="0"/>
              <w:pBdr>
                <w:top w:val="nil"/>
                <w:left w:val="nil"/>
                <w:bottom w:val="nil"/>
                <w:right w:val="nil"/>
                <w:between w:val="nil"/>
              </w:pBdr>
              <w:jc w:val="center"/>
              <w:rPr>
                <w:rFonts w:cs="Times New Roman"/>
                <w:i/>
                <w:iCs/>
                <w:color w:val="000000"/>
              </w:rPr>
            </w:pPr>
            <w:r>
              <w:rPr>
                <w:rFonts w:cs="Times New Roman"/>
                <w:i/>
                <w:iCs/>
                <w:color w:val="000000"/>
                <w:vertAlign w:val="superscript"/>
              </w:rPr>
              <w:t>2</w:t>
            </w:r>
            <w:r w:rsidR="00DF0A92" w:rsidRPr="00DF0A92">
              <w:rPr>
                <w:rFonts w:cs="Times New Roman"/>
                <w:i/>
                <w:iCs/>
                <w:color w:val="000000"/>
              </w:rPr>
              <w:t xml:space="preserve">Faculty of Computer Science, Alexandru Ioan Cuza University of </w:t>
            </w:r>
            <w:proofErr w:type="spellStart"/>
            <w:r w:rsidR="00DF0A92" w:rsidRPr="00DF0A92">
              <w:rPr>
                <w:rFonts w:cs="Times New Roman"/>
                <w:i/>
                <w:iCs/>
                <w:color w:val="000000"/>
              </w:rPr>
              <w:t>Iași</w:t>
            </w:r>
            <w:proofErr w:type="spellEnd"/>
          </w:p>
          <w:p w14:paraId="0572871F" w14:textId="77777777" w:rsidR="0026285F" w:rsidRDefault="006A5A33">
            <w:pPr>
              <w:widowControl w:val="0"/>
              <w:pBdr>
                <w:top w:val="nil"/>
                <w:left w:val="nil"/>
                <w:bottom w:val="nil"/>
                <w:right w:val="nil"/>
                <w:between w:val="nil"/>
              </w:pBdr>
              <w:jc w:val="center"/>
              <w:rPr>
                <w:rFonts w:ascii="Courier New" w:eastAsia="Courier New" w:hAnsi="Courier New" w:cs="Courier New"/>
                <w:color w:val="000000"/>
              </w:rPr>
            </w:pPr>
            <w:r w:rsidRPr="006A5A33">
              <w:rPr>
                <w:rFonts w:ascii="Courier New" w:eastAsia="Courier New" w:hAnsi="Courier New" w:cs="Courier New"/>
                <w:color w:val="000000"/>
              </w:rPr>
              <w:t>marius-alexandru.olaru@info.uaic.ro</w:t>
            </w:r>
          </w:p>
          <w:p w14:paraId="15B65B20" w14:textId="77777777" w:rsidR="0026285F" w:rsidRDefault="0026285F">
            <w:pPr>
              <w:widowControl w:val="0"/>
              <w:pBdr>
                <w:top w:val="nil"/>
                <w:left w:val="nil"/>
                <w:bottom w:val="nil"/>
                <w:right w:val="nil"/>
                <w:between w:val="nil"/>
              </w:pBdr>
              <w:jc w:val="center"/>
              <w:rPr>
                <w:i/>
                <w:iCs/>
                <w:color w:val="000000"/>
                <w:sz w:val="20"/>
                <w:szCs w:val="20"/>
              </w:rPr>
            </w:pPr>
          </w:p>
        </w:tc>
      </w:tr>
      <w:tr w:rsidR="0026285F" w14:paraId="5627CEF9" w14:textId="77777777">
        <w:trPr>
          <w:jc w:val="center"/>
        </w:trPr>
        <w:tc>
          <w:tcPr>
            <w:tcW w:w="8182" w:type="dxa"/>
            <w:vAlign w:val="center"/>
          </w:tcPr>
          <w:p w14:paraId="1B0CD3D8" w14:textId="77777777" w:rsidR="0026285F" w:rsidRDefault="0026285F">
            <w:pPr>
              <w:widowControl w:val="0"/>
              <w:pBdr>
                <w:top w:val="nil"/>
                <w:left w:val="nil"/>
                <w:bottom w:val="nil"/>
                <w:right w:val="nil"/>
                <w:between w:val="nil"/>
              </w:pBdr>
              <w:rPr>
                <w:color w:val="000000"/>
                <w:vertAlign w:val="superscript"/>
              </w:rPr>
            </w:pPr>
          </w:p>
        </w:tc>
      </w:tr>
    </w:tbl>
    <w:p w14:paraId="503C0790" w14:textId="77777777" w:rsidR="0026285F" w:rsidRDefault="002945D0">
      <w:pPr>
        <w:pBdr>
          <w:top w:val="nil"/>
          <w:left w:val="nil"/>
          <w:bottom w:val="nil"/>
          <w:right w:val="nil"/>
          <w:between w:val="nil"/>
        </w:pBdr>
        <w:spacing w:before="360" w:after="240"/>
        <w:jc w:val="center"/>
        <w:rPr>
          <w:rFonts w:cs="Times New Roman"/>
          <w:b/>
          <w:bCs/>
          <w:color w:val="000000"/>
        </w:rPr>
      </w:pPr>
      <w:r>
        <w:rPr>
          <w:rFonts w:cs="Times New Roman"/>
          <w:b/>
          <w:bCs/>
          <w:color w:val="000000"/>
        </w:rPr>
        <w:t>Abstract</w:t>
      </w:r>
    </w:p>
    <w:p w14:paraId="29FB08BD" w14:textId="266D6374" w:rsidR="0026285F" w:rsidRDefault="00CE6419">
      <w:pPr>
        <w:pBdr>
          <w:top w:val="nil"/>
          <w:left w:val="nil"/>
          <w:bottom w:val="nil"/>
          <w:right w:val="nil"/>
          <w:between w:val="nil"/>
        </w:pBdr>
        <w:spacing w:after="240"/>
        <w:ind w:left="340" w:right="340"/>
        <w:rPr>
          <w:rFonts w:cs="Times New Roman"/>
          <w:color w:val="000000"/>
          <w:szCs w:val="22"/>
        </w:rPr>
      </w:pPr>
      <w:r w:rsidRPr="00CE6419">
        <w:rPr>
          <w:rFonts w:cs="Times New Roman"/>
          <w:color w:val="000000"/>
          <w:szCs w:val="22"/>
        </w:rPr>
        <w:t xml:space="preserve">Evaluation rubrics can be adapted as new human annotations become available. Whether the resulting criteria depend on the order of these examples, rather than their content alone, remains less clear. We examine this question using HelpSteer2 and Qwen3:14B, comparing a fixed rubric with two approaches to adaptation: updating from a batch of examples or revising the rubric after each example. Sequential updating produces the closest agreement with human ratings (QWK 0.309; Spearman 0.423). This improvement comes with a cost. When the same calibration examples are presented in different orders, sequential rubrics exhibit roughly twice the instability observed with batch updating (0.0637 versus 0.0318). The proportion of scores affected also increases, from 7.0% to 13.6%. </w:t>
      </w:r>
      <w:r w:rsidR="00B957ED" w:rsidRPr="00B957ED">
        <w:rPr>
          <w:rFonts w:cs="Times New Roman"/>
          <w:color w:val="000000"/>
          <w:szCs w:val="22"/>
        </w:rPr>
        <w:t>Independent repetitions also revealed score differences under a fixed calibration order, whereas the separate fixed-rubric control produced identical judgements in the tested setting.</w:t>
      </w:r>
      <w:r w:rsidRPr="00CE6419">
        <w:rPr>
          <w:rFonts w:cs="Times New Roman"/>
          <w:color w:val="000000"/>
          <w:szCs w:val="22"/>
        </w:rPr>
        <w:t xml:space="preserve"> Our results suggest that the history of rubric construction deserves attention alongside agreement with human </w:t>
      </w:r>
      <w:r w:rsidR="00A77BC0" w:rsidRPr="00A77BC0">
        <w:rPr>
          <w:rFonts w:cs="Times New Roman"/>
          <w:color w:val="000000"/>
          <w:szCs w:val="22"/>
        </w:rPr>
        <w:t>judgements</w:t>
      </w:r>
      <w:r w:rsidR="00A77BC0">
        <w:rPr>
          <w:rFonts w:cs="Times New Roman"/>
          <w:color w:val="000000"/>
          <w:szCs w:val="22"/>
        </w:rPr>
        <w:t xml:space="preserve"> </w:t>
      </w:r>
      <w:r w:rsidRPr="00CE6419">
        <w:rPr>
          <w:rFonts w:cs="Times New Roman"/>
          <w:color w:val="000000"/>
          <w:szCs w:val="22"/>
        </w:rPr>
        <w:t>when assessing the reliability of LLM evaluation methods.</w:t>
      </w:r>
    </w:p>
    <w:p w14:paraId="1E8B03F1" w14:textId="77777777" w:rsidR="00301C96" w:rsidRDefault="002945D0" w:rsidP="00CB56D1">
      <w:pPr>
        <w:pBdr>
          <w:top w:val="nil"/>
          <w:left w:val="nil"/>
          <w:bottom w:val="nil"/>
          <w:right w:val="nil"/>
          <w:between w:val="nil"/>
        </w:pBdr>
        <w:spacing w:before="120" w:after="120"/>
        <w:ind w:left="340" w:right="340"/>
        <w:rPr>
          <w:rFonts w:cs="Times New Roman"/>
          <w:color w:val="000000"/>
          <w:szCs w:val="22"/>
        </w:rPr>
      </w:pPr>
      <w:r>
        <w:rPr>
          <w:rFonts w:cs="Times New Roman"/>
          <w:b/>
          <w:bCs/>
          <w:color w:val="000000"/>
          <w:szCs w:val="22"/>
        </w:rPr>
        <w:t>Keywords</w:t>
      </w:r>
      <w:r>
        <w:rPr>
          <w:rFonts w:cs="Times New Roman"/>
          <w:color w:val="000000"/>
          <w:szCs w:val="22"/>
        </w:rPr>
        <w:t xml:space="preserve">: </w:t>
      </w:r>
      <w:r w:rsidR="00CE6419">
        <w:rPr>
          <w:rFonts w:cs="Times New Roman"/>
          <w:color w:val="000000"/>
          <w:szCs w:val="22"/>
        </w:rPr>
        <w:t xml:space="preserve">Large Language Models, Automated Evaluation, Adaptive Rubrics, </w:t>
      </w:r>
      <w:r w:rsidR="00CE6419" w:rsidRPr="00CE6419">
        <w:rPr>
          <w:rFonts w:cs="Times New Roman"/>
          <w:color w:val="000000"/>
          <w:szCs w:val="22"/>
        </w:rPr>
        <w:t>Reproducibility</w:t>
      </w:r>
    </w:p>
    <w:p w14:paraId="562300C0" w14:textId="77777777" w:rsidR="00983C78" w:rsidRDefault="00000000" w:rsidP="007D38D4">
      <w:pPr>
        <w:pStyle w:val="Titlu1"/>
        <w:ind w:firstLine="0"/>
      </w:pPr>
      <w:r>
        <w:t>1. Introduction</w:t>
      </w:r>
    </w:p>
    <w:p w14:paraId="5CD37EBD" w14:textId="10147FA2" w:rsidR="007D38D4" w:rsidRDefault="007D38D4" w:rsidP="006646B3">
      <w:pPr>
        <w:pStyle w:val="NormalFirstParagraph"/>
        <w:rPr>
          <w:b/>
          <w:bCs/>
        </w:rPr>
      </w:pPr>
      <w:r w:rsidRPr="007D38D4">
        <w:t>Evaluating open</w:t>
      </w:r>
      <w:r w:rsidR="006646B3">
        <w:rPr>
          <w:b/>
          <w:bCs/>
        </w:rPr>
        <w:t xml:space="preserve"> </w:t>
      </w:r>
      <w:r w:rsidRPr="007D38D4">
        <w:t>ended responses generated by large language models (LLMs) involves considerably more than determining whether an answer is factually correct. Responses may differ in relevance, completeness, clarity, or their ability to satisfy requirements that are not easily captured by conventional automatic metrics. Human evaluation remains valuable precisely because it can accommodate such distinctions, although its cost and limited scalability make extensive comparisons increasingly difficult. LLM-as-a-Judge methods have emerged as a practical alternative, allowing language models to assess generated text through natural-language instructions, structured criteria, or explicit scoring procedures (Liu et al., 2023; Zheng et al., 2023; Kim et al., 2024; Hashemi et al., 2024).</w:t>
      </w:r>
      <w:r>
        <w:rPr>
          <w:b/>
          <w:bCs/>
        </w:rPr>
        <w:t xml:space="preserve"> </w:t>
      </w:r>
      <w:proofErr w:type="gramStart"/>
      <w:r w:rsidRPr="007D38D4">
        <w:t>Agreement</w:t>
      </w:r>
      <w:proofErr w:type="gramEnd"/>
      <w:r w:rsidRPr="007D38D4">
        <w:t xml:space="preserve"> with human annotations, however, provides only a partial account of evaluator reliability. A judge may produce scores that correlate with human assessments while remaining sensitive to aspects of the evaluation procedure that should have little bearing on response quality.</w:t>
      </w:r>
    </w:p>
    <w:p w14:paraId="54D099EE" w14:textId="4FD34E98" w:rsidR="007D38D4" w:rsidRPr="007D38D4" w:rsidRDefault="007D38D4" w:rsidP="006646B3">
      <w:r w:rsidRPr="007D38D4">
        <w:t xml:space="preserve">Several such sensitivities have already been documented. Changes in response position, verbosity, prompt formulation, and model self-preference can influence LLM-generated assessments, sometimes </w:t>
      </w:r>
      <w:r w:rsidRPr="007D38D4">
        <w:lastRenderedPageBreak/>
        <w:t xml:space="preserve">without any corresponding change in the underlying content (Zheng et al., 2023; Dubois et al., 2024; Wang et al., 2024a; Shi et al., 2025; Wataoka et al., 2025). These findings become particularly relevant when the evaluation criteria are themselves produced or modified by a language model. Rubric-guided approaches seek to make assessment more transparent by specifying the dimensions of quality and the anchors associated with different scores. More recent work has explored rubrics calibrated against human annotations and criteria generated or refined for </w:t>
      </w:r>
      <w:proofErr w:type="gramStart"/>
      <w:r w:rsidRPr="007D38D4">
        <w:t>particular evaluation</w:t>
      </w:r>
      <w:proofErr w:type="gramEnd"/>
      <w:r w:rsidRPr="007D38D4">
        <w:t xml:space="preserve"> settings (Hashemi et al., 2024; Zhou et al., 2026; Siro et al., 2026). Such flexibility is useful, but it introduces a dependency that fixed evaluation procedures do not ordinarily face: the final rubric is an outcome of calibration, rather than a specification determined entirely beforehand.</w:t>
      </w:r>
      <w:r>
        <w:rPr>
          <w:b/>
          <w:bCs/>
        </w:rPr>
        <w:t xml:space="preserve"> </w:t>
      </w:r>
      <w:r w:rsidRPr="007D38D4">
        <w:t>How that calibration evidence is processed may therefore matter.</w:t>
      </w:r>
      <w:r>
        <w:rPr>
          <w:b/>
          <w:bCs/>
        </w:rPr>
        <w:t xml:space="preserve"> </w:t>
      </w:r>
      <w:r w:rsidRPr="007D38D4">
        <w:t>The sensitivity of language models to demonstration ordering is not a new observation. Studies of in-context learning have shown that rearranging otherwise identical examples can alter predictions, prompting investigations into ordering strategies and more robust prompting procedures (Zhao et al., 2021; Lu et al., 2022; Xiang et al., 2024). Adaptive rubric construction presents a different setting. Here, the examples do not merely provide context for an immediate prediction; they contribute to an evaluation artefact that may subsequently be reused across many responses. The distinction is especially relevant for sequential adaptation, where each update operates on a rubric already shaped by earlier examples. Information encountered at the beginning of calibration may consequently influence how later evidence is incorporated, even when the underlying examples and their human-assigned scores remain unchanged. Whether these differences survive in the final rubric, and whether they affect subsequent judgements, cannot be established from conventional studies of demonstration-order sensitivity alone.</w:t>
      </w:r>
    </w:p>
    <w:p w14:paraId="6EB454A7" w14:textId="16AF5527" w:rsidR="007D38D4" w:rsidRPr="007D38D4" w:rsidRDefault="007D38D4" w:rsidP="006646B3">
      <w:r w:rsidRPr="007D38D4">
        <w:t>A related difficulty concerns reproducibility. If two independently executed calibration procedures receive the same examples in the same order, should they necessarily produce identical rubrics? Deterministic decoding settings do not guarantee this outcome, and repeated construction introduces another potential source of variation beyond the ordering of the evidence. Distinguishing these phenomena is important when interpreting differences between adaptive evaluation procedures.</w:t>
      </w:r>
    </w:p>
    <w:p w14:paraId="42079069" w14:textId="21D4BB92" w:rsidR="007D38D4" w:rsidRDefault="007D38D4" w:rsidP="006646B3">
      <w:pPr>
        <w:rPr>
          <w:b/>
          <w:bCs/>
        </w:rPr>
      </w:pPr>
      <w:r w:rsidRPr="007D38D4">
        <w:t>We investigate these questions using a controlled comparison of three rubric-construction strategies: a fixed rubric, adaptation from batches of human-scored examples, and sequential revision after individual examples. The experiments use HelpSteer2 helpfulness annotations and a common LLM-based judge, with identical calibration evidence presented under four prescribed orderings. Agreement with human ratings is examined alongside changes in downstream scores, while paired statistical analysis accounts for the shared calibration blocks and held-out prompts. To extend the assessment beyond ordering effects, we also examine independently repeated rubric construction under unchanged calibration conditions and compare these results with a separate fixed-rubric judging control.</w:t>
      </w:r>
      <w:r>
        <w:rPr>
          <w:b/>
          <w:bCs/>
        </w:rPr>
        <w:t xml:space="preserve"> </w:t>
      </w:r>
      <w:r w:rsidRPr="007D38D4">
        <w:t xml:space="preserve">The resulting evidence offers a more qualified picture than an agreement comparison alone would suggest. Sequential adaptation achieves the highest observed agreement point estimates, although the associated uncertainty does not establish a reliable advantage over batch construction. Its downstream scores are also more variable across calibration-order conditions, with the interval for the primary instability difference narrowly excluding zero. Moreover, complete-pipeline repetitions reveal changes even when calibration order is held fixed. Together, these observations motivate treating rubric-construction history and procedural reproducibility as distinct considerations in the assessment of adaptive LLM judges, rather than </w:t>
      </w:r>
      <w:proofErr w:type="gramStart"/>
      <w:r w:rsidRPr="007D38D4">
        <w:t>assuming that</w:t>
      </w:r>
      <w:proofErr w:type="gramEnd"/>
      <w:r w:rsidRPr="007D38D4">
        <w:t xml:space="preserve"> human agreement or deterministic decoding settings adequately characterise their reliability.</w:t>
      </w:r>
    </w:p>
    <w:p w14:paraId="3A2413E7" w14:textId="0728C483" w:rsidR="00983C78" w:rsidRDefault="00000000" w:rsidP="007D38D4">
      <w:pPr>
        <w:pStyle w:val="Titlu1"/>
        <w:ind w:firstLine="0"/>
      </w:pPr>
      <w:r>
        <w:t>2. Related Work</w:t>
      </w:r>
    </w:p>
    <w:p w14:paraId="151C479B" w14:textId="77777777" w:rsidR="00983C78" w:rsidRDefault="00000000">
      <w:pPr>
        <w:pStyle w:val="Titlu2"/>
      </w:pPr>
      <w:r>
        <w:t>2.1. LLM-as-a-Judge Evaluation</w:t>
      </w:r>
    </w:p>
    <w:p w14:paraId="78F3D21B" w14:textId="77777777" w:rsidR="00983C78" w:rsidRDefault="00000000">
      <w:pPr>
        <w:pStyle w:val="NormalFirstParagraph"/>
      </w:pPr>
      <w:r>
        <w:t xml:space="preserve">LLM-based evaluators have been used for general natural-language generation assessment, instruction-following evaluation, fine-grained skill evaluation, and instruction-tuning benchmarks. Reported systems include G-Eval, MT-Bench and Chatbot Arena, FLASK, </w:t>
      </w:r>
      <w:proofErr w:type="spellStart"/>
      <w:r>
        <w:t>PandaLM</w:t>
      </w:r>
      <w:proofErr w:type="spellEnd"/>
      <w:r>
        <w:t xml:space="preserve">, and </w:t>
      </w:r>
      <w:proofErr w:type="spellStart"/>
      <w:r>
        <w:t>JudgeLM</w:t>
      </w:r>
      <w:proofErr w:type="spellEnd"/>
      <w:r>
        <w:t xml:space="preserve"> (Liu et al., 2023; Zheng et al., 2023; Ye et al., 2024; Wang et al., 2024b; Zhu et al., 2025). This literature establishes </w:t>
      </w:r>
      <w:r>
        <w:lastRenderedPageBreak/>
        <w:t>the practical value of LLM judges while also motivating careful study of their agreement with human annotations.</w:t>
      </w:r>
    </w:p>
    <w:p w14:paraId="3CD05CFB" w14:textId="77777777" w:rsidR="00983C78" w:rsidRDefault="00000000">
      <w:r>
        <w:t>Reliability studies document position bias, verbosity effects, unfairness, self-preference, and variation in instruction-following evaluation (Dubois et al., 2024; Wang et al., 2024a; Zeng et al., 2024; Shi et al., 2025; Wataoka et al., 2025). The present experiment does not treat these established sensitivities as new; it focuses on the additional point at which ordering can enter when the judging rubric itself is adapted.</w:t>
      </w:r>
    </w:p>
    <w:p w14:paraId="208BD6BD" w14:textId="77777777" w:rsidR="00983C78" w:rsidRDefault="00000000">
      <w:pPr>
        <w:pStyle w:val="Titlu2"/>
      </w:pPr>
      <w:r>
        <w:t>2.2. Rubric-Guided and Adaptive Evaluation</w:t>
      </w:r>
    </w:p>
    <w:p w14:paraId="2FB9C410" w14:textId="77777777" w:rsidR="00983C78" w:rsidRDefault="00000000">
      <w:pPr>
        <w:pStyle w:val="NormalFirstParagraph"/>
      </w:pPr>
      <w:r>
        <w:t xml:space="preserve">Rubric-guided approaches expose criteria and score anchors rather than relying on an undifferentiated preference. Prometheus induces fine-grained evaluation capability, LLM-Rubric calibrates multidimensional evaluation, </w:t>
      </w:r>
      <w:proofErr w:type="spellStart"/>
      <w:r>
        <w:t>RubricBench</w:t>
      </w:r>
      <w:proofErr w:type="spellEnd"/>
      <w:r>
        <w:t xml:space="preserve"> compares model-generated rubrics with human standards, and Learning to Judge studies LLM-designed and applied rubrics (Kim et al., 2024; Hashemi et al., 2024; Zhou et al., 2026; Siro et al., 2026). These approaches make the rubric a distinct component of the evaluation pipeline and create a basis for studying how it is constructed.</w:t>
      </w:r>
    </w:p>
    <w:p w14:paraId="04A36485" w14:textId="77777777" w:rsidR="00983C78" w:rsidRDefault="00000000">
      <w:pPr>
        <w:pStyle w:val="Titlu2"/>
      </w:pPr>
      <w:r>
        <w:t>2.3. Calibration and Human Agreement</w:t>
      </w:r>
    </w:p>
    <w:p w14:paraId="0B53F978" w14:textId="77777777" w:rsidR="00983C78" w:rsidRDefault="00000000">
      <w:pPr>
        <w:pStyle w:val="NormalFirstParagraph"/>
      </w:pPr>
      <w:r>
        <w:t>Agreement with human ordinal ratings is commonly summarised through exact-match accuracy, error magnitude, weighted agreement, and rank association. Quadratic weighted kappa assigns larger penalties to larger category disagreements (Cohen, 1968), while Spearman correlation measures rank association (Spearman, 1987). HelpSteer2 supplies the five-point helpfulness annotations used in this study (Wang et al., 2024c). Agreement remains only one dimension of reliability when evaluation criteria are adapted from data.</w:t>
      </w:r>
    </w:p>
    <w:p w14:paraId="2F961815" w14:textId="77777777" w:rsidR="00983C78" w:rsidRDefault="00000000">
      <w:pPr>
        <w:pStyle w:val="Titlu2"/>
      </w:pPr>
      <w:r>
        <w:t>2.4. Demonstration Order and Reproducibility</w:t>
      </w:r>
    </w:p>
    <w:p w14:paraId="2C26ACE8" w14:textId="77777777" w:rsidR="00983C78" w:rsidRDefault="00000000">
      <w:pPr>
        <w:pStyle w:val="NormalFirstParagraph"/>
      </w:pPr>
      <w:r>
        <w:t xml:space="preserve">Permutation effects in in-context learning have been demonstrated under few-shot prompt ordering and studied through methods for selecting, debiasing, or making order robust (Zhao et al., 2021; Lu et al., 2022; Xiang et al., 2024; Li et al., 2024; Guo et al., 2024; Zhang et al., 2024; Adu </w:t>
      </w:r>
      <w:proofErr w:type="spellStart"/>
      <w:r>
        <w:t>Cobbina</w:t>
      </w:r>
      <w:proofErr w:type="spellEnd"/>
      <w:r>
        <w:t xml:space="preserve"> and Zhou, 2025). In adaptive rubric construction, the same evidence may affect not only a single prediction but also a reusable intermediate rubric. The experiment therefore evaluates order sensitivity in both rubric representations and downstream score vectors.</w:t>
      </w:r>
    </w:p>
    <w:p w14:paraId="62C3FA80" w14:textId="77777777" w:rsidR="00983C78" w:rsidRDefault="00000000">
      <w:pPr>
        <w:pStyle w:val="Titlu1"/>
      </w:pPr>
      <w:r>
        <w:t>3. Methodology</w:t>
      </w:r>
    </w:p>
    <w:p w14:paraId="136DDF83" w14:textId="77777777" w:rsidR="00983C78" w:rsidRDefault="00000000">
      <w:pPr>
        <w:pStyle w:val="Titlu2"/>
      </w:pPr>
      <w:r>
        <w:t>3.1. Rubric Construction Strategies</w:t>
      </w:r>
    </w:p>
    <w:p w14:paraId="7924645A" w14:textId="77777777" w:rsidR="00983C78" w:rsidRDefault="00000000">
      <w:pPr>
        <w:pStyle w:val="NormalFirstParagraph"/>
      </w:pPr>
      <w:r>
        <w:t>Let R₀ denote the initial evaluation rubric, U the LLM-based updater, b a calibration block, o one of the four orderings, and πₒ the permutation associated with order o. Each block contains n = 10 human-scored examples. The ordered evidence supplied to the updater is defined in Equation (1).</w:t>
      </w:r>
    </w:p>
    <w:p w14:paraId="042AC0A4" w14:textId="77777777" w:rsidR="00983C78" w:rsidRDefault="00000000">
      <w:pPr>
        <w:pStyle w:val="NormalFirstParagraph"/>
        <w:keepLines/>
        <w:tabs>
          <w:tab w:val="center" w:pos="4535"/>
          <w:tab w:val="right" w:pos="9071"/>
        </w:tabs>
        <w:spacing w:before="120" w:after="120"/>
      </w:pPr>
      <w:r>
        <w:rPr>
          <w:rFonts w:ascii="Cambria Math" w:hAnsi="Cambria Math"/>
        </w:rPr>
        <w:tab/>
      </w:r>
      <m:oMath>
        <m:sSub>
          <m:sSubPr>
            <m:ctrlPr>
              <w:rPr>
                <w:rFonts w:ascii="Cambria Math" w:hAnsi="Cambria Math"/>
              </w:rPr>
            </m:ctrlPr>
          </m:sSubPr>
          <m:e>
            <m:r>
              <w:rPr>
                <w:rFonts w:ascii="Cambria Math" w:hAnsi="Cambria Math"/>
              </w:rPr>
              <m:t>D</m:t>
            </m:r>
          </m:e>
          <m:sub>
            <m:r>
              <w:rPr>
                <w:rFonts w:ascii="Cambria Math" w:hAnsi="Cambria Math"/>
              </w:rPr>
              <m:t>b,o</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b,</m:t>
                </m:r>
                <m:sSub>
                  <m:sSubPr>
                    <m:ctrlPr>
                      <w:rPr>
                        <w:rFonts w:ascii="Cambria Math" w:hAnsi="Cambria Math"/>
                      </w:rPr>
                    </m:ctrlPr>
                  </m:sSubPr>
                  <m:e>
                    <m:r>
                      <w:rPr>
                        <w:rFonts w:ascii="Cambria Math" w:hAnsi="Cambria Math"/>
                      </w:rPr>
                      <m:t>π</m:t>
                    </m:r>
                  </m:e>
                  <m:sub>
                    <m:r>
                      <w:rPr>
                        <w:rFonts w:ascii="Cambria Math" w:hAnsi="Cambria Math"/>
                      </w:rPr>
                      <m:t>o</m:t>
                    </m:r>
                  </m:sub>
                </m:s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sSub>
                  <m:sSubPr>
                    <m:ctrlPr>
                      <w:rPr>
                        <w:rFonts w:ascii="Cambria Math" w:hAnsi="Cambria Math"/>
                      </w:rPr>
                    </m:ctrlPr>
                  </m:sSubPr>
                  <m:e>
                    <m:r>
                      <w:rPr>
                        <w:rFonts w:ascii="Cambria Math" w:hAnsi="Cambria Math"/>
                      </w:rPr>
                      <m:t>π</m:t>
                    </m:r>
                  </m:e>
                  <m:sub>
                    <m:r>
                      <w:rPr>
                        <w:rFonts w:ascii="Cambria Math" w:hAnsi="Cambria Math"/>
                      </w:rPr>
                      <m:t>o</m:t>
                    </m:r>
                  </m:sub>
                </m:sSub>
                <m:r>
                  <w:rPr>
                    <w:rFonts w:ascii="Cambria Math" w:hAnsi="Cambria Math"/>
                  </w:rPr>
                  <m:t>(n)</m:t>
                </m:r>
              </m:sub>
            </m:sSub>
          </m:e>
        </m:d>
      </m:oMath>
      <w:r>
        <w:tab/>
        <w:t>(1)</w:t>
      </w:r>
    </w:p>
    <w:p w14:paraId="772D1570" w14:textId="77777777" w:rsidR="00983C78" w:rsidRDefault="00000000">
      <w:r>
        <w:t>In the Static condition, no adaptation is performed and R₀ is used throughout. In the Batch condition, the complete ordered sequence is supplied jointly to the updater, as in Equation (2).</w:t>
      </w:r>
    </w:p>
    <w:p w14:paraId="179C5CEE" w14:textId="77777777" w:rsidR="00983C78" w:rsidRDefault="00000000">
      <w:pPr>
        <w:pStyle w:val="NormalFirstParagraph"/>
        <w:keepLines/>
        <w:tabs>
          <w:tab w:val="center" w:pos="4535"/>
          <w:tab w:val="right" w:pos="9071"/>
        </w:tabs>
        <w:spacing w:before="120" w:after="120"/>
      </w:pPr>
      <w:r>
        <w:rPr>
          <w:rFonts w:ascii="Cambria Math" w:hAnsi="Cambria Math"/>
        </w:rPr>
        <w:tab/>
      </w:r>
      <m:oMath>
        <m:sSubSup>
          <m:sSubSupPr>
            <m:ctrlPr>
              <w:rPr>
                <w:rFonts w:ascii="Cambria Math" w:hAnsi="Cambria Math"/>
              </w:rPr>
            </m:ctrlPr>
          </m:sSubSupPr>
          <m:e>
            <m:r>
              <w:rPr>
                <w:rFonts w:ascii="Cambria Math" w:hAnsi="Cambria Math"/>
              </w:rPr>
              <m:t>R</m:t>
            </m:r>
          </m:e>
          <m:sub>
            <m:r>
              <w:rPr>
                <w:rFonts w:ascii="Cambria Math" w:hAnsi="Cambria Math"/>
              </w:rPr>
              <m:t>b,o</m:t>
            </m:r>
          </m:sub>
          <m:sup>
            <m:r>
              <m:rPr>
                <m:sty m:val="p"/>
              </m:rPr>
              <w:rPr>
                <w:rFonts w:ascii="Cambria Math" w:hAnsi="Cambria Math"/>
              </w:rPr>
              <m:t>batch</m:t>
            </m:r>
          </m:sup>
        </m:sSubSup>
        <m:r>
          <w:rPr>
            <w:rFonts w:ascii="Cambria Math" w:hAnsi="Cambria Math"/>
          </w:rPr>
          <m:t>=U</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0</m:t>
                </m:r>
              </m:sub>
            </m:sSub>
          </m:e>
          <m:e>
            <m:sSub>
              <m:sSubPr>
                <m:ctrlPr>
                  <w:rPr>
                    <w:rFonts w:ascii="Cambria Math" w:hAnsi="Cambria Math"/>
                  </w:rPr>
                </m:ctrlPr>
              </m:sSubPr>
              <m:e>
                <m:r>
                  <w:rPr>
                    <w:rFonts w:ascii="Cambria Math" w:hAnsi="Cambria Math"/>
                  </w:rPr>
                  <m:t>D</m:t>
                </m:r>
              </m:e>
              <m:sub>
                <m:r>
                  <w:rPr>
                    <w:rFonts w:ascii="Cambria Math" w:hAnsi="Cambria Math"/>
                  </w:rPr>
                  <m:t>b,o</m:t>
                </m:r>
              </m:sub>
            </m:sSub>
          </m:e>
        </m:d>
      </m:oMath>
      <w:r>
        <w:tab/>
        <w:t>(2)</w:t>
      </w:r>
    </w:p>
    <w:p w14:paraId="64A5D805" w14:textId="77777777" w:rsidR="00983C78" w:rsidRDefault="00000000">
      <w:r>
        <w:t>In the Sequential condition, the updater receives one example at a time. Its output after step t becomes the input rubric for step t + 1, as stated in Equation (3). Updater conversation history is reset between independent construction runs; only the explicit previous rubric is included in the next standalone prompt.</w:t>
      </w:r>
    </w:p>
    <w:p w14:paraId="495D358C" w14:textId="77777777" w:rsidR="00983C78" w:rsidRDefault="00000000">
      <w:pPr>
        <w:pStyle w:val="NormalFirstParagraph"/>
        <w:keepLines/>
        <w:tabs>
          <w:tab w:val="center" w:pos="4535"/>
          <w:tab w:val="right" w:pos="9071"/>
        </w:tabs>
        <w:spacing w:before="120" w:after="120"/>
      </w:pPr>
      <w:r>
        <w:rPr>
          <w:rFonts w:ascii="Cambria Math" w:hAnsi="Cambria Math"/>
        </w:rPr>
        <w:tab/>
      </w:r>
      <m:oMath>
        <m:sSubSup>
          <m:sSubSupPr>
            <m:ctrlPr>
              <w:rPr>
                <w:rFonts w:ascii="Cambria Math" w:hAnsi="Cambria Math"/>
              </w:rPr>
            </m:ctrlPr>
          </m:sSubSupPr>
          <m:e>
            <m:r>
              <w:rPr>
                <w:rFonts w:ascii="Cambria Math" w:hAnsi="Cambria Math"/>
              </w:rPr>
              <m:t>R</m:t>
            </m:r>
          </m:e>
          <m:sub>
            <m:r>
              <w:rPr>
                <w:rFonts w:ascii="Cambria Math" w:hAnsi="Cambria Math"/>
              </w:rPr>
              <m:t>b,o,0</m:t>
            </m:r>
          </m:sub>
          <m:sup>
            <m:r>
              <m:rPr>
                <m:sty m:val="p"/>
              </m:rPr>
              <w:rPr>
                <w:rFonts w:ascii="Cambria Math" w:hAnsi="Cambria Math"/>
              </w:rPr>
              <m:t>seq</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b,o,t</m:t>
            </m:r>
          </m:sub>
          <m:sup>
            <m:r>
              <m:rPr>
                <m:sty m:val="p"/>
              </m:rPr>
              <w:rPr>
                <w:rFonts w:ascii="Cambria Math" w:hAnsi="Cambria Math"/>
              </w:rPr>
              <m:t>seq</m:t>
            </m:r>
          </m:sup>
        </m:sSubSup>
        <m:r>
          <w:rPr>
            <w:rFonts w:ascii="Cambria Math" w:hAnsi="Cambria Math"/>
          </w:rPr>
          <m:t>=U</m:t>
        </m:r>
        <m:d>
          <m:dPr>
            <m:sep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b,o,t-1</m:t>
                </m:r>
              </m:sub>
              <m:sup>
                <m:r>
                  <m:rPr>
                    <m:sty m:val="p"/>
                  </m:rPr>
                  <w:rPr>
                    <w:rFonts w:ascii="Cambria Math" w:hAnsi="Cambria Math"/>
                  </w:rPr>
                  <m:t>seq</m:t>
                </m:r>
              </m:sup>
            </m:sSubSup>
          </m:e>
          <m:e>
            <m:sSub>
              <m:sSubPr>
                <m:ctrlPr>
                  <w:rPr>
                    <w:rFonts w:ascii="Cambria Math" w:hAnsi="Cambria Math"/>
                  </w:rPr>
                </m:ctrlPr>
              </m:sSubPr>
              <m:e>
                <m:r>
                  <w:rPr>
                    <w:rFonts w:ascii="Cambria Math" w:hAnsi="Cambria Math"/>
                  </w:rPr>
                  <m:t>d</m:t>
                </m:r>
              </m:e>
              <m:sub>
                <m:r>
                  <w:rPr>
                    <w:rFonts w:ascii="Cambria Math" w:hAnsi="Cambria Math"/>
                  </w:rPr>
                  <m:t>b,</m:t>
                </m:r>
                <m:sSub>
                  <m:sSubPr>
                    <m:ctrlPr>
                      <w:rPr>
                        <w:rFonts w:ascii="Cambria Math" w:hAnsi="Cambria Math"/>
                      </w:rPr>
                    </m:ctrlPr>
                  </m:sSubPr>
                  <m:e>
                    <m:r>
                      <w:rPr>
                        <w:rFonts w:ascii="Cambria Math" w:hAnsi="Cambria Math"/>
                      </w:rPr>
                      <m:t>π</m:t>
                    </m:r>
                  </m:e>
                  <m:sub>
                    <m:r>
                      <w:rPr>
                        <w:rFonts w:ascii="Cambria Math" w:hAnsi="Cambria Math"/>
                      </w:rPr>
                      <m:t>o</m:t>
                    </m:r>
                  </m:sub>
                </m:sSub>
                <m:r>
                  <w:rPr>
                    <w:rFonts w:ascii="Cambria Math" w:hAnsi="Cambria Math"/>
                  </w:rPr>
                  <m:t>(t)</m:t>
                </m:r>
              </m:sub>
            </m:sSub>
          </m:e>
        </m:d>
        <m:r>
          <w:rPr>
            <w:rFonts w:ascii="Cambria Math" w:hAnsi="Cambria Math"/>
          </w:rPr>
          <m:t>,t=1,…,n</m:t>
        </m:r>
      </m:oMath>
      <w:r>
        <w:tab/>
        <w:t>(3)</w:t>
      </w:r>
    </w:p>
    <w:p w14:paraId="17DC0DC2" w14:textId="77777777" w:rsidR="00983C78" w:rsidRDefault="00000000">
      <w:r>
        <w:lastRenderedPageBreak/>
        <w:t>The initial rubric contains the three immutable criteria Task fulfilment, Correctness, and Clarity and relevance, together with score anchors from 0 to 4. The updater may add at most two generally applicable supplementary criteria but cannot alter the three core criteria, the score anchors, or the schema.</w:t>
      </w:r>
    </w:p>
    <w:p w14:paraId="3D7B31B5" w14:textId="77777777" w:rsidR="00B957ED" w:rsidRDefault="00B957ED"/>
    <w:p w14:paraId="70089368" w14:textId="77777777" w:rsidR="00983C78" w:rsidRDefault="00000000">
      <w:pPr>
        <w:pStyle w:val="NormalFirstParagraph"/>
        <w:keepNext/>
        <w:jc w:val="center"/>
      </w:pPr>
      <w:r>
        <w:rPr>
          <w:noProof/>
        </w:rPr>
        <w:drawing>
          <wp:inline distT="0" distB="0" distL="0" distR="0" wp14:anchorId="643923AD" wp14:editId="7F1A86AD">
            <wp:extent cx="5715000" cy="862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000.png"/>
                    <pic:cNvPicPr/>
                  </pic:nvPicPr>
                  <pic:blipFill>
                    <a:blip r:embed="rId10"/>
                    <a:stretch>
                      <a:fillRect/>
                    </a:stretch>
                  </pic:blipFill>
                  <pic:spPr>
                    <a:xfrm>
                      <a:off x="0" y="0"/>
                      <a:ext cx="5715000" cy="862330"/>
                    </a:xfrm>
                    <a:prstGeom prst="rect">
                      <a:avLst/>
                    </a:prstGeom>
                  </pic:spPr>
                </pic:pic>
              </a:graphicData>
            </a:graphic>
          </wp:inline>
        </w:drawing>
      </w:r>
    </w:p>
    <w:p w14:paraId="140BE502" w14:textId="5EF2C1F3" w:rsidR="00983C78" w:rsidRDefault="00000000">
      <w:pPr>
        <w:pStyle w:val="Legend"/>
      </w:pPr>
      <w:r>
        <w:t xml:space="preserve">Figure 1. </w:t>
      </w:r>
      <w:r w:rsidR="00B957ED" w:rsidRPr="00B957ED">
        <w:t>Overview of the evaluation protocol comparing static, batch, and sequential rubric construction under different calibration orders.</w:t>
      </w:r>
    </w:p>
    <w:p w14:paraId="275D4AAE" w14:textId="77777777" w:rsidR="00983C78" w:rsidRDefault="00000000">
      <w:pPr>
        <w:pStyle w:val="Titlu2"/>
      </w:pPr>
      <w:r>
        <w:t>3.2. Calibration Order and Path Dependence</w:t>
      </w:r>
    </w:p>
    <w:p w14:paraId="4106BD98" w14:textId="77777777" w:rsidR="00983C78" w:rsidRDefault="00000000">
      <w:pPr>
        <w:pStyle w:val="NormalFirstParagraph"/>
      </w:pPr>
      <w:r>
        <w:t>For each block, the same ten calibration examples are arranged in ascending human-score order, descending order, a deterministic random order, and the exact reverse of that random order. The examples and scores are identical across conditions; only πₒ changes. Batch receives the sequence jointly, whereas Sequential successively conditions each update on the rubric produced at the previous step. The same judge then applies every resulting rubric to the same held-out responses.</w:t>
      </w:r>
    </w:p>
    <w:p w14:paraId="3AA43587" w14:textId="0076825D" w:rsidR="00983C78" w:rsidRDefault="00000000">
      <w:r>
        <w:t xml:space="preserve">This design distinguishes conventional demonstration-order sensitivity from order dependence introduced through the construction of a persistent evaluation artefact. </w:t>
      </w:r>
      <w:r w:rsidR="00040253" w:rsidRPr="00040253">
        <w:t>Observed score differences may also reflect run-to-run variability, which is examined separately through the repeatability controls described in Section 3.4.</w:t>
      </w:r>
    </w:p>
    <w:p w14:paraId="48A6568E" w14:textId="77777777" w:rsidR="00983C78" w:rsidRDefault="00000000">
      <w:pPr>
        <w:pStyle w:val="Titlu2"/>
      </w:pPr>
      <w:r>
        <w:t>3.3. Agreement and Stability Metrics</w:t>
      </w:r>
    </w:p>
    <w:p w14:paraId="30536F9C" w14:textId="77777777" w:rsidR="00983C78" w:rsidRDefault="00000000">
      <w:pPr>
        <w:pStyle w:val="NormalFirstParagraph"/>
      </w:pPr>
      <w:r>
        <w:t xml:space="preserve">Let </w:t>
      </w:r>
      <w:proofErr w:type="spellStart"/>
      <w:r>
        <w:t>m</w:t>
      </w:r>
      <w:proofErr w:type="spellEnd"/>
      <w:r>
        <w:t xml:space="preserve"> index the construction method, b index one of B calibration blocks, </w:t>
      </w:r>
      <w:proofErr w:type="spellStart"/>
      <w:r>
        <w:t>i</w:t>
      </w:r>
      <w:proofErr w:type="spellEnd"/>
      <w:r>
        <w:t xml:space="preserve"> index one of H held-out responses, and o index a member of the calibration-order set O. Here B = 10, H = 50, and O contains four orders. Let </w:t>
      </w:r>
      <w:proofErr w:type="gramStart"/>
      <w:r>
        <w:t>sₘ,ᵦ</w:t>
      </w:r>
      <w:proofErr w:type="gramEnd"/>
      <w:r>
        <w:t>,</w:t>
      </w:r>
      <w:proofErr w:type="gramStart"/>
      <w:r>
        <w:t>ᵢ,ₒ</w:t>
      </w:r>
      <w:proofErr w:type="gramEnd"/>
      <w:r>
        <w:t xml:space="preserve"> be the predicted score. Equation (4) defines the response-level mean score across orders.</w:t>
      </w:r>
    </w:p>
    <w:p w14:paraId="0BED8E57" w14:textId="77777777" w:rsidR="00983C78" w:rsidRDefault="00000000">
      <w:pPr>
        <w:pStyle w:val="NormalFirstParagraph"/>
        <w:keepLines/>
        <w:tabs>
          <w:tab w:val="center" w:pos="4535"/>
          <w:tab w:val="right" w:pos="9071"/>
        </w:tabs>
        <w:spacing w:before="120" w:after="120"/>
      </w:pPr>
      <w:r>
        <w:rPr>
          <w:rFonts w:ascii="Cambria Math" w:hAnsi="Cambria Math"/>
        </w:rP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s</m:t>
                </m:r>
              </m:e>
            </m:bar>
          </m:e>
          <m:sub>
            <m:r>
              <w:rPr>
                <w:rFonts w:ascii="Cambria Math" w:hAnsi="Cambria Math"/>
              </w:rPr>
              <m:t>m,b,i</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rPr>
                  <w:rPr>
                    <w:rFonts w:ascii="Cambria Math" w:hAnsi="Cambria Math"/>
                  </w:rPr>
                  <m:t>O</m:t>
                </m:r>
              </m:e>
            </m:d>
          </m:den>
        </m:f>
        <m:nary>
          <m:naryPr>
            <m:chr m:val="∑"/>
            <m:limLoc m:val="subSup"/>
            <m:grow m:val="1"/>
            <m:supHide m:val="1"/>
            <m:ctrlPr>
              <w:rPr>
                <w:rFonts w:ascii="Cambria Math" w:hAnsi="Cambria Math"/>
              </w:rPr>
            </m:ctrlPr>
          </m:naryPr>
          <m:sub>
            <m:r>
              <w:rPr>
                <w:rFonts w:ascii="Cambria Math" w:hAnsi="Cambria Math"/>
              </w:rPr>
              <m:t>o∈</m:t>
            </m:r>
            <m:r>
              <m:rPr>
                <m:scr m:val="script"/>
              </m:rPr>
              <w:rPr>
                <w:rFonts w:ascii="Cambria Math" w:hAnsi="Cambria Math"/>
              </w:rPr>
              <m:t>O</m:t>
            </m:r>
          </m:sub>
          <m:sup/>
          <m:e>
            <m:sSub>
              <m:sSubPr>
                <m:ctrlPr>
                  <w:rPr>
                    <w:rFonts w:ascii="Cambria Math" w:hAnsi="Cambria Math"/>
                  </w:rPr>
                </m:ctrlPr>
              </m:sSubPr>
              <m:e>
                <m:r>
                  <w:rPr>
                    <w:rFonts w:ascii="Cambria Math" w:hAnsi="Cambria Math"/>
                  </w:rPr>
                  <m:t>s</m:t>
                </m:r>
              </m:e>
              <m:sub>
                <m:r>
                  <w:rPr>
                    <w:rFonts w:ascii="Cambria Math" w:hAnsi="Cambria Math"/>
                  </w:rPr>
                  <m:t>m,b,i,o</m:t>
                </m:r>
              </m:sub>
            </m:sSub>
          </m:e>
        </m:nary>
      </m:oMath>
      <w:r>
        <w:tab/>
        <w:t>(4)</w:t>
      </w:r>
    </w:p>
    <w:p w14:paraId="337A4AD7" w14:textId="77777777" w:rsidR="00983C78" w:rsidRDefault="00000000">
      <w:r>
        <w:t>The primary instability is the population standard deviation across the four order-derived scores, computed separately for every held-out response, averaged over the 50 responses, and then averaged without weights over the ten calibration blocks. Equation (5) is the exact audited implementation; the divisor inside the square root is the number of orders, not that number minus one.</w:t>
      </w:r>
    </w:p>
    <w:p w14:paraId="7595EC86" w14:textId="77777777" w:rsidR="00983C78" w:rsidRDefault="00000000">
      <w:pPr>
        <w:pStyle w:val="NormalFirstParagraph"/>
        <w:keepLines/>
        <w:tabs>
          <w:tab w:val="center" w:pos="4535"/>
          <w:tab w:val="right" w:pos="9071"/>
        </w:tabs>
        <w:spacing w:before="120" w:after="120"/>
      </w:pPr>
      <w:r>
        <w:rPr>
          <w:rFonts w:ascii="Cambria Math" w:hAnsi="Cambria Math"/>
        </w:rPr>
        <w:tab/>
      </w:r>
      <m:oMath>
        <m:sSub>
          <m:sSubPr>
            <m:ctrlPr>
              <w:rPr>
                <w:rFonts w:ascii="Cambria Math" w:hAnsi="Cambria Math"/>
              </w:rPr>
            </m:ctrlPr>
          </m:sSubPr>
          <m:e>
            <m:r>
              <w:rPr>
                <w:rFonts w:ascii="Cambria Math" w:hAnsi="Cambria Math"/>
              </w:rPr>
              <m:t>I</m:t>
            </m:r>
          </m:e>
          <m:sub>
            <m:r>
              <w:rPr>
                <w:rFonts w:ascii="Cambria Math" w:hAnsi="Cambria Math"/>
              </w:rPr>
              <m:t>m,b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H</m:t>
            </m:r>
          </m:sup>
          <m:e>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rPr>
                          <w:rPr>
                            <w:rFonts w:ascii="Cambria Math" w:hAnsi="Cambria Math"/>
                          </w:rPr>
                          <m:t>O</m:t>
                        </m:r>
                      </m:e>
                    </m:d>
                  </m:den>
                </m:f>
                <m:nary>
                  <m:naryPr>
                    <m:chr m:val="∑"/>
                    <m:limLoc m:val="subSup"/>
                    <m:grow m:val="1"/>
                    <m:supHide m:val="1"/>
                    <m:ctrlPr>
                      <w:rPr>
                        <w:rFonts w:ascii="Cambria Math" w:hAnsi="Cambria Math"/>
                      </w:rPr>
                    </m:ctrlPr>
                  </m:naryPr>
                  <m:sub>
                    <m:r>
                      <w:rPr>
                        <w:rFonts w:ascii="Cambria Math" w:hAnsi="Cambria Math"/>
                      </w:rPr>
                      <m:t>o∈</m:t>
                    </m:r>
                    <m:r>
                      <m:rPr>
                        <m:scr m:val="script"/>
                      </m:rPr>
                      <w:rPr>
                        <w:rFonts w:ascii="Cambria Math" w:hAnsi="Cambria Math"/>
                      </w:rPr>
                      <m:t>O</m:t>
                    </m:r>
                  </m:sub>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m,b,i,o</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s</m:t>
                                    </m:r>
                                  </m:e>
                                </m:bar>
                              </m:e>
                              <m:sub>
                                <m:r>
                                  <w:rPr>
                                    <w:rFonts w:ascii="Cambria Math" w:hAnsi="Cambria Math"/>
                                  </w:rPr>
                                  <m:t>m,b,i</m:t>
                                </m:r>
                              </m:sub>
                            </m:sSub>
                          </m:e>
                        </m:d>
                      </m:e>
                      <m:sup>
                        <m:r>
                          <w:rPr>
                            <w:rFonts w:ascii="Cambria Math" w:hAnsi="Cambria Math"/>
                          </w:rPr>
                          <m:t>2</m:t>
                        </m:r>
                      </m:sup>
                    </m:sSup>
                  </m:e>
                </m:nary>
              </m:e>
            </m:rad>
          </m:e>
        </m:nary>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subSup"/>
            <m:grow m:val="1"/>
            <m:ctrlPr>
              <w:rPr>
                <w:rFonts w:ascii="Cambria Math" w:hAnsi="Cambria Math"/>
              </w:rPr>
            </m:ctrlPr>
          </m:naryPr>
          <m:sub>
            <m:r>
              <w:rPr>
                <w:rFonts w:ascii="Cambria Math" w:hAnsi="Cambria Math"/>
              </w:rPr>
              <m:t>b=1</m:t>
            </m:r>
          </m:sub>
          <m:sup>
            <m:r>
              <w:rPr>
                <w:rFonts w:ascii="Cambria Math" w:hAnsi="Cambria Math"/>
              </w:rPr>
              <m:t>B</m:t>
            </m:r>
          </m:sup>
          <m:e>
            <m:sSub>
              <m:sSubPr>
                <m:ctrlPr>
                  <w:rPr>
                    <w:rFonts w:ascii="Cambria Math" w:hAnsi="Cambria Math"/>
                  </w:rPr>
                </m:ctrlPr>
              </m:sSubPr>
              <m:e>
                <m:r>
                  <w:rPr>
                    <w:rFonts w:ascii="Cambria Math" w:hAnsi="Cambria Math"/>
                  </w:rPr>
                  <m:t>I</m:t>
                </m:r>
              </m:e>
              <m:sub>
                <m:r>
                  <w:rPr>
                    <w:rFonts w:ascii="Cambria Math" w:hAnsi="Cambria Math"/>
                  </w:rPr>
                  <m:t>m,b</m:t>
                </m:r>
              </m:sub>
            </m:sSub>
          </m:e>
        </m:nary>
      </m:oMath>
      <w:r>
        <w:tab/>
        <w:t>(5)</w:t>
      </w:r>
    </w:p>
    <w:p w14:paraId="139FC964" w14:textId="77777777" w:rsidR="00983C78" w:rsidRDefault="00000000">
      <w:r>
        <w:t>The score-change rate counts responses whose four order-derived scores contain more than one distinct value. Its block and method averages are defined in Equation (6), where the bold 1 term is an indicator.</w:t>
      </w:r>
    </w:p>
    <w:p w14:paraId="73FDCCC7" w14:textId="77777777" w:rsidR="00983C78" w:rsidRDefault="00000000">
      <w:pPr>
        <w:pStyle w:val="NormalFirstParagraph"/>
        <w:keepLines/>
        <w:tabs>
          <w:tab w:val="center" w:pos="4535"/>
          <w:tab w:val="right" w:pos="9071"/>
        </w:tabs>
        <w:spacing w:before="120" w:after="120"/>
      </w:pPr>
      <w:r>
        <w:rPr>
          <w:rFonts w:ascii="Cambria Math" w:hAnsi="Cambria Math"/>
        </w:rPr>
        <w:tab/>
      </w:r>
      <m:oMath>
        <m:sSub>
          <m:sSubPr>
            <m:ctrlPr>
              <w:rPr>
                <w:rFonts w:ascii="Cambria Math" w:hAnsi="Cambria Math"/>
              </w:rPr>
            </m:ctrlPr>
          </m:sSubPr>
          <m:e>
            <m:r>
              <w:rPr>
                <w:rFonts w:ascii="Cambria Math" w:hAnsi="Cambria Math"/>
              </w:rPr>
              <m:t>C</m:t>
            </m:r>
          </m:e>
          <m:sub>
            <m:r>
              <w:rPr>
                <w:rFonts w:ascii="Cambria Math" w:hAnsi="Cambria Math"/>
              </w:rPr>
              <m:t>m,b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H</m:t>
            </m:r>
          </m:sup>
          <m:e>
            <m:r>
              <m:rPr>
                <m:sty m:val="b"/>
              </m:rPr>
              <w:rPr>
                <w:rFonts w:ascii="Cambria Math" w:hAnsi="Cambria Math"/>
              </w:rPr>
              <m:t>1</m:t>
            </m:r>
          </m:e>
        </m:nary>
        <m:d>
          <m:dPr>
            <m:sepChr m:val="&gt;"/>
            <m:ctrlPr>
              <w:rPr>
                <w:rFonts w:ascii="Cambria Math" w:hAnsi="Cambria Math"/>
              </w:rPr>
            </m:ctrlPr>
          </m:dPr>
          <m:e>
            <m:d>
              <m:dPr>
                <m:begChr m:val="|"/>
                <m:endChr m:val="|"/>
                <m:ctrlPr>
                  <w:rPr>
                    <w:rFonts w:ascii="Cambria Math" w:hAnsi="Cambria Math"/>
                  </w:rPr>
                </m:ctrlPr>
              </m:dP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m,b,i,o</m:t>
                        </m:r>
                      </m:sub>
                    </m:sSub>
                    <m:r>
                      <w:rPr>
                        <w:rFonts w:ascii="Cambria Math" w:hAnsi="Cambria Math"/>
                      </w:rPr>
                      <m:t>:o</m:t>
                    </m:r>
                  </m:e>
                  <m:e>
                    <m:r>
                      <m:rPr>
                        <m:scr m:val="script"/>
                      </m:rPr>
                      <w:rPr>
                        <w:rFonts w:ascii="Cambria Math" w:hAnsi="Cambria Math"/>
                      </w:rPr>
                      <m:t>O</m:t>
                    </m:r>
                  </m:e>
                </m:d>
              </m:e>
            </m:d>
          </m:e>
          <m:e>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subSup"/>
            <m:grow m:val="1"/>
            <m:ctrlPr>
              <w:rPr>
                <w:rFonts w:ascii="Cambria Math" w:hAnsi="Cambria Math"/>
              </w:rPr>
            </m:ctrlPr>
          </m:naryPr>
          <m:sub>
            <m:r>
              <w:rPr>
                <w:rFonts w:ascii="Cambria Math" w:hAnsi="Cambria Math"/>
              </w:rPr>
              <m:t>b=1</m:t>
            </m:r>
          </m:sub>
          <m:sup>
            <m:r>
              <w:rPr>
                <w:rFonts w:ascii="Cambria Math" w:hAnsi="Cambria Math"/>
              </w:rPr>
              <m:t>B</m:t>
            </m:r>
          </m:sup>
          <m:e>
            <m:sSub>
              <m:sSubPr>
                <m:ctrlPr>
                  <w:rPr>
                    <w:rFonts w:ascii="Cambria Math" w:hAnsi="Cambria Math"/>
                  </w:rPr>
                </m:ctrlPr>
              </m:sSubPr>
              <m:e>
                <m:r>
                  <w:rPr>
                    <w:rFonts w:ascii="Cambria Math" w:hAnsi="Cambria Math"/>
                  </w:rPr>
                  <m:t>C</m:t>
                </m:r>
              </m:e>
              <m:sub>
                <m:r>
                  <w:rPr>
                    <w:rFonts w:ascii="Cambria Math" w:hAnsi="Cambria Math"/>
                  </w:rPr>
                  <m:t>m,b</m:t>
                </m:r>
              </m:sub>
            </m:sSub>
          </m:e>
        </m:nary>
      </m:oMath>
      <w:r>
        <w:tab/>
        <w:t>(6)</w:t>
      </w:r>
    </w:p>
    <w:p w14:paraId="6AA5EB1F" w14:textId="77777777" w:rsidR="00983C78" w:rsidRDefault="00000000">
      <w:r>
        <w:t xml:space="preserve">The mean score range averages maxₒ </w:t>
      </w:r>
      <w:proofErr w:type="gramStart"/>
      <w:r>
        <w:t>sₘ,ᵦ</w:t>
      </w:r>
      <w:proofErr w:type="gramEnd"/>
      <w:r>
        <w:t>,</w:t>
      </w:r>
      <w:proofErr w:type="gramStart"/>
      <w:r>
        <w:t>ᵢ,ₒ</w:t>
      </w:r>
      <w:proofErr w:type="gramEnd"/>
      <w:r>
        <w:t xml:space="preserve"> − minₒ </w:t>
      </w:r>
      <w:proofErr w:type="gramStart"/>
      <w:r>
        <w:t>sₘ,ᵦ</w:t>
      </w:r>
      <w:proofErr w:type="gramEnd"/>
      <w:r>
        <w:t>,</w:t>
      </w:r>
      <w:proofErr w:type="gramStart"/>
      <w:r>
        <w:t>ᵢ,ₒ</w:t>
      </w:r>
      <w:proofErr w:type="gramEnd"/>
      <w:r>
        <w:t xml:space="preserve"> over responses and blocks. For the two responses associated with each held-out prompt, strict ranking flips count opposite non-zero score-order signs across each unordered pair of calibration orders; tie changes count cases in which exactly one sign is zero. Both rates use 25 prompt pairs × 6 order pairs = 150 comparisons per block.</w:t>
      </w:r>
    </w:p>
    <w:p w14:paraId="7A39F5C6" w14:textId="77777777" w:rsidR="00983C78" w:rsidRDefault="00000000">
      <w:r>
        <w:t xml:space="preserve">Human agreement is measured by exact-match accuracy, mean absolute error (MAE), quadratic weighted kappa (QWK) over the fixed categories 0–4, and Spearman correlation using average ranks for ties. For Batch and Sequential, each metric is computed within every block-by-order </w:t>
      </w:r>
      <w:proofErr w:type="gramStart"/>
      <w:r>
        <w:t>condition</w:t>
      </w:r>
      <w:proofErr w:type="gramEnd"/>
      <w:r>
        <w:t xml:space="preserve"> and the 40 values are averaged without weights. Static is deduplicated and computed once on the 50 unique </w:t>
      </w:r>
      <w:r>
        <w:lastRenderedPageBreak/>
        <w:t xml:space="preserve">held-out responses. Equation (7) records this aggregation, where a is any agreement statistic, y is the human-score vector, and </w:t>
      </w:r>
      <w:proofErr w:type="spellStart"/>
      <w:r>
        <w:t>s</w:t>
      </w:r>
      <w:proofErr w:type="spellEnd"/>
      <w:r>
        <w:t xml:space="preserve"> is the corresponding predicted vector.</w:t>
      </w:r>
    </w:p>
    <w:p w14:paraId="1C96B441" w14:textId="77777777" w:rsidR="00983C78" w:rsidRDefault="00000000">
      <w:pPr>
        <w:pStyle w:val="NormalFirstParagraph"/>
        <w:keepLines/>
        <w:tabs>
          <w:tab w:val="center" w:pos="4535"/>
          <w:tab w:val="right" w:pos="9071"/>
        </w:tabs>
        <w:spacing w:before="120" w:after="120"/>
      </w:pPr>
      <w:r>
        <w:rPr>
          <w:rFonts w:ascii="Cambria Math" w:hAnsi="Cambria Math"/>
        </w:rPr>
        <w:tab/>
      </w:r>
      <m:oMath>
        <m:sSub>
          <m:sSubPr>
            <m:ctrlPr>
              <w:rPr>
                <w:rFonts w:ascii="Cambria Math" w:hAnsi="Cambria Math"/>
              </w:rPr>
            </m:ctrlPr>
          </m:sSubPr>
          <m:e>
            <m:r>
              <w:rPr>
                <w:rFonts w:ascii="Cambria Math" w:hAnsi="Cambria Math"/>
              </w:rPr>
              <m:t>A</m:t>
            </m:r>
          </m:e>
          <m:sub>
            <m:r>
              <m:rPr>
                <m:sty m:val="p"/>
              </m:rPr>
              <w:rPr>
                <w:rFonts w:ascii="Cambria Math" w:hAnsi="Cambria Math"/>
              </w:rPr>
              <m:t>static</m:t>
            </m:r>
          </m:sub>
        </m:sSub>
        <m:r>
          <w:rPr>
            <w:rFonts w:ascii="Cambria Math" w:hAnsi="Cambria Math"/>
          </w:rPr>
          <m:t>=a</m:t>
        </m:r>
        <m:d>
          <m:dPr>
            <m:sepChr m:val=","/>
            <m:ctrlPr>
              <w:rPr>
                <w:rFonts w:ascii="Cambria Math" w:hAnsi="Cambria Math"/>
              </w:rPr>
            </m:ctrlPr>
          </m:dPr>
          <m:e>
            <m:r>
              <w:rPr>
                <w:rFonts w:ascii="Cambria Math" w:hAnsi="Cambria Math"/>
              </w:rPr>
              <m:t>y</m:t>
            </m:r>
          </m:e>
          <m:e>
            <m:sSub>
              <m:sSubPr>
                <m:ctrlPr>
                  <w:rPr>
                    <w:rFonts w:ascii="Cambria Math" w:hAnsi="Cambria Math"/>
                  </w:rPr>
                </m:ctrlPr>
              </m:sSubPr>
              <m:e>
                <m:r>
                  <w:rPr>
                    <w:rFonts w:ascii="Cambria Math" w:hAnsi="Cambria Math"/>
                  </w:rPr>
                  <m:t>s</m:t>
                </m:r>
              </m:e>
              <m:sub>
                <m:r>
                  <w:rPr>
                    <w:rFonts w:ascii="Cambria Math" w:hAnsi="Cambria Math"/>
                  </w:rPr>
                  <m:t>0</m:t>
                </m:r>
              </m:sub>
            </m:sSub>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r>
              <m:rPr>
                <m:scr m:val="script"/>
              </m:rPr>
              <w:rPr>
                <w:rFonts w:ascii="Cambria Math" w:hAnsi="Cambria Math"/>
              </w:rPr>
              <m:t>O|</m:t>
            </m:r>
          </m:den>
        </m:f>
        <m:nary>
          <m:naryPr>
            <m:chr m:val="∑"/>
            <m:limLoc m:val="subSup"/>
            <m:grow m:val="1"/>
            <m:ctrlPr>
              <w:rPr>
                <w:rFonts w:ascii="Cambria Math" w:hAnsi="Cambria Math"/>
              </w:rPr>
            </m:ctrlPr>
          </m:naryPr>
          <m:sub>
            <m:r>
              <w:rPr>
                <w:rFonts w:ascii="Cambria Math" w:hAnsi="Cambria Math"/>
              </w:rPr>
              <m:t>b=1</m:t>
            </m:r>
          </m:sub>
          <m:sup>
            <m:r>
              <w:rPr>
                <w:rFonts w:ascii="Cambria Math" w:hAnsi="Cambria Math"/>
              </w:rPr>
              <m:t>B</m:t>
            </m:r>
          </m:sup>
          <m:e>
            <m:nary>
              <m:naryPr>
                <m:chr m:val="∑"/>
                <m:limLoc m:val="subSup"/>
                <m:grow m:val="1"/>
                <m:supHide m:val="1"/>
                <m:ctrlPr>
                  <w:rPr>
                    <w:rFonts w:ascii="Cambria Math" w:hAnsi="Cambria Math"/>
                  </w:rPr>
                </m:ctrlPr>
              </m:naryPr>
              <m:sub>
                <m:r>
                  <w:rPr>
                    <w:rFonts w:ascii="Cambria Math" w:hAnsi="Cambria Math"/>
                  </w:rPr>
                  <m:t>o∈</m:t>
                </m:r>
                <m:r>
                  <m:rPr>
                    <m:scr m:val="script"/>
                  </m:rPr>
                  <w:rPr>
                    <w:rFonts w:ascii="Cambria Math" w:hAnsi="Cambria Math"/>
                  </w:rPr>
                  <m:t>O</m:t>
                </m:r>
              </m:sub>
              <m:sup/>
              <m:e>
                <m:r>
                  <w:rPr>
                    <w:rFonts w:ascii="Cambria Math" w:hAnsi="Cambria Math"/>
                  </w:rPr>
                  <m:t>a</m:t>
                </m:r>
                <m:d>
                  <m:dPr>
                    <m:sepChr m:val=","/>
                    <m:ctrlPr>
                      <w:rPr>
                        <w:rFonts w:ascii="Cambria Math" w:hAnsi="Cambria Math"/>
                      </w:rPr>
                    </m:ctrlPr>
                  </m:dPr>
                  <m:e>
                    <m:r>
                      <w:rPr>
                        <w:rFonts w:ascii="Cambria Math" w:hAnsi="Cambria Math"/>
                      </w:rPr>
                      <m:t>y</m:t>
                    </m:r>
                  </m:e>
                  <m:e>
                    <m:sSub>
                      <m:sSubPr>
                        <m:ctrlPr>
                          <w:rPr>
                            <w:rFonts w:ascii="Cambria Math" w:hAnsi="Cambria Math"/>
                          </w:rPr>
                        </m:ctrlPr>
                      </m:sSubPr>
                      <m:e>
                        <m:r>
                          <w:rPr>
                            <w:rFonts w:ascii="Cambria Math" w:hAnsi="Cambria Math"/>
                          </w:rPr>
                          <m:t>s</m:t>
                        </m:r>
                      </m:e>
                      <m:sub>
                        <m:r>
                          <w:rPr>
                            <w:rFonts w:ascii="Cambria Math" w:hAnsi="Cambria Math"/>
                          </w:rPr>
                          <m:t>m,b,o</m:t>
                        </m:r>
                      </m:sub>
                    </m:sSub>
                  </m:e>
                </m:d>
              </m:e>
            </m:nary>
          </m:e>
        </m:nary>
        <m:r>
          <w:rPr>
            <w:rFonts w:ascii="Cambria Math" w:hAnsi="Cambria Math"/>
          </w:rPr>
          <m:t>,m∈{</m:t>
        </m:r>
        <m:r>
          <m:rPr>
            <m:sty m:val="p"/>
          </m:rPr>
          <w:rPr>
            <w:rFonts w:ascii="Cambria Math" w:hAnsi="Cambria Math"/>
          </w:rPr>
          <m:t>batch</m:t>
        </m:r>
        <m:r>
          <w:rPr>
            <w:rFonts w:ascii="Cambria Math" w:hAnsi="Cambria Math"/>
          </w:rPr>
          <m:t>,</m:t>
        </m:r>
        <m:r>
          <m:rPr>
            <m:sty m:val="p"/>
          </m:rPr>
          <w:rPr>
            <w:rFonts w:ascii="Cambria Math" w:hAnsi="Cambria Math"/>
          </w:rPr>
          <m:t>seq</m:t>
        </m:r>
        <m:r>
          <w:rPr>
            <w:rFonts w:ascii="Cambria Math" w:hAnsi="Cambria Math"/>
          </w:rPr>
          <m:t>}</m:t>
        </m:r>
      </m:oMath>
      <w:r>
        <w:tab/>
        <w:t>(7)</w:t>
      </w:r>
    </w:p>
    <w:p w14:paraId="5C8DD6E3" w14:textId="77777777" w:rsidR="00983C78" w:rsidRDefault="00000000">
      <w:pPr>
        <w:pStyle w:val="Titlu2"/>
      </w:pPr>
      <w:r>
        <w:t>3.4. Statistical Analysis and Repeatability Controls</w:t>
      </w:r>
    </w:p>
    <w:p w14:paraId="4879A1EC" w14:textId="77777777" w:rsidR="00983C78" w:rsidRDefault="00000000">
      <w:pPr>
        <w:pStyle w:val="NormalFirstParagraph"/>
      </w:pPr>
      <w:r>
        <w:t>Uncertainty is estimated with 10,000 paired crossed-cluster bootstrap draws using seed 42 (Field and Welsh, 2007). Each draw resamples ten calibration-block indices and 25 held-out prompt-group indices with replacement. Both responses attached to a selected prompt remain together. The same sampled block and prompt indices are reused for every compared method and order. QWK and Spearman are recomputed within sampled block-by-order conditions before applying Equation (7); they are not replaced by pooled nonlinear statistics.</w:t>
      </w:r>
    </w:p>
    <w:p w14:paraId="7888E1EA" w14:textId="4BA3F781" w:rsidR="00983C78" w:rsidRDefault="00000000" w:rsidP="00040253">
      <w:r>
        <w:t>The Sequential-minus-Batch contrasts are computed within each paired draw. Percentile limits use linear interpolation at 2.5% and 97.5%. Leave-one-calibration-block-out diagnostics were also computed for the QWK and primary-instability differences.</w:t>
      </w:r>
      <w:r w:rsidR="00040253">
        <w:t xml:space="preserve"> </w:t>
      </w:r>
      <w:r>
        <w:t>Repeatability is assessed separately at two levels. Complete-pipeline replicates restart from R₀, reconstruct the rubric independently, and re-judge all 50 responses. The original controls already supplied three complete replicates for random-order blocks 0, 4, and 9; the final validation extended three-replicate coverage to all ten blocks. A distinct fixed-rubric control then repeated judging with an already constructed rubric to isolate judge inference repeatability. Temperature-zero decoding is treated as a configuration choice, not as a guarantee of deterministic output.</w:t>
      </w:r>
    </w:p>
    <w:p w14:paraId="364FB855" w14:textId="77777777" w:rsidR="00983C78" w:rsidRDefault="00000000">
      <w:pPr>
        <w:pStyle w:val="Titlu1"/>
      </w:pPr>
      <w:r>
        <w:t>4. Experimental Setup</w:t>
      </w:r>
    </w:p>
    <w:p w14:paraId="2B5F6521" w14:textId="77777777" w:rsidR="00983C78" w:rsidRDefault="00000000">
      <w:pPr>
        <w:pStyle w:val="NormalFirstParagraph"/>
      </w:pPr>
      <w:r>
        <w:t xml:space="preserve">The experiment uses the HelpSteer2 helpfulness annotation as the target human judgement (Wang et al., 2024c). Calibration examples come from the official training </w:t>
      </w:r>
      <w:proofErr w:type="gramStart"/>
      <w:r>
        <w:t>split, and</w:t>
      </w:r>
      <w:proofErr w:type="gramEnd"/>
      <w:r>
        <w:t xml:space="preserve"> held-out responses come from the validation split. With seed 42, ten disjoint calibration blocks were sampled, each containing ten examples stratified by score: exactly two examples for each score from 0 to 4. Calibration prompts do not repeat across blocks.</w:t>
      </w:r>
    </w:p>
    <w:p w14:paraId="05B76B13" w14:textId="77777777" w:rsidR="00983C78" w:rsidRDefault="00000000">
      <w:r>
        <w:t>Evaluation uses 25 held-out prompts with two responses each, for 50 responses. The audit found zero calibration/held-out example-ID overlap, zero prompt-ID overlap, zero prompt reuse across calibration blocks, and zero overlap with material selected for the three pilot or judge-validation runs. Previously used development and validation examples were excluded through stored manifests.</w:t>
      </w:r>
    </w:p>
    <w:p w14:paraId="68936156" w14:textId="77777777" w:rsidR="00983C78" w:rsidRDefault="00000000">
      <w:r>
        <w:t>Both updater and judge use Qwen3:14B (Yang et al., 2025) through Ollama, with temperature 0, model seed 42, thinking disabled, and a 16,384-token context window. Updater outputs are capped at 650 tokens and judge outputs at 25 tokens. The Batch, Sequential, and judge roles use separate versioned prompts and structured schemas. The judge does not receive the human score and cannot modify the rubric.</w:t>
      </w:r>
    </w:p>
    <w:p w14:paraId="790A0B3D" w14:textId="77777777" w:rsidR="00983C78" w:rsidRDefault="00000000">
      <w:r>
        <w:t>The frozen preprocessing caps prompt text at 1,200 characters and response text at 2,400 characters before rendering. At least one field is deterministically truncated in 37 of 100 calibration records and 22 of 50 held-out response records. This behaviour is preserved because it is part of the original configuration. All main-run requests passed context preflight under the conservative estimator.</w:t>
      </w:r>
    </w:p>
    <w:p w14:paraId="115E0BB0" w14:textId="77777777" w:rsidR="00983C78" w:rsidRDefault="00000000">
      <w:r>
        <w:t xml:space="preserve">The final validation executed 154 complete-pipeline updater calls and 1,400 complete-pipeline judge calls, plus 100 fixed-rubric judge calls. All 1,654 calls were successful without retry. The historical run recorded the </w:t>
      </w:r>
      <w:proofErr w:type="gramStart"/>
      <w:r>
        <w:t>model</w:t>
      </w:r>
      <w:proofErr w:type="gramEnd"/>
      <w:r>
        <w:t xml:space="preserve"> name and request options but not the execution-time model digest, quantisation, Ollama version, Git commit, or dirty state; current environment identifiers cannot retroactively prove the exact historical binary.</w:t>
      </w:r>
    </w:p>
    <w:p w14:paraId="5FF32166" w14:textId="77777777" w:rsidR="00983C78" w:rsidRDefault="00000000">
      <w:pPr>
        <w:pStyle w:val="Titlu1"/>
      </w:pPr>
      <w:r>
        <w:lastRenderedPageBreak/>
        <w:t>5. Results and Discussion</w:t>
      </w:r>
    </w:p>
    <w:p w14:paraId="0D552451" w14:textId="77777777" w:rsidR="00983C78" w:rsidRDefault="00000000">
      <w:pPr>
        <w:pStyle w:val="Titlu2"/>
      </w:pPr>
      <w:r>
        <w:t>5.1. Agreement with Human Ratings</w:t>
      </w:r>
    </w:p>
    <w:p w14:paraId="165EFE3C" w14:textId="6A51EDE7" w:rsidR="00983C78" w:rsidRDefault="006646B3">
      <w:pPr>
        <w:pStyle w:val="NormalFirstParagraph"/>
      </w:pPr>
      <w:r w:rsidRPr="006646B3">
        <w:t>Table 1 presents the agreement between LLM-generated scores and human ratings across the three rubric</w:t>
      </w:r>
      <w:r>
        <w:t xml:space="preserve"> </w:t>
      </w:r>
      <w:r w:rsidRPr="006646B3">
        <w:t>construction strategies, together with their corresponding confidence intervals.</w:t>
      </w:r>
      <w:r w:rsidR="00000000">
        <w:t xml:space="preserve"> By point estimate, Sequential has the highest QWK (0.3094) and Spearman correlation (0.4230), the lowest MAE (1.0475), and the highest exact-match accuracy (0.2500). Batch is numerically close to Static and Sequential on these measures.</w:t>
      </w:r>
    </w:p>
    <w:p w14:paraId="554C1039" w14:textId="77777777" w:rsidR="00983C78" w:rsidRDefault="00000000">
      <w:pPr>
        <w:pStyle w:val="Legend"/>
        <w:keepLines/>
      </w:pPr>
      <w:r>
        <w:t>Table 1. Agreement with human ratings. Each cell reports the point estimate and 95% paired crossed-cluster bootstrap interval; higher is better except for MAE.</w:t>
      </w:r>
    </w:p>
    <w:tbl>
      <w:tblPr>
        <w:tblW w:w="9072" w:type="dxa"/>
        <w:jc w:val="center"/>
        <w:tblBorders>
          <w:top w:val="nil"/>
          <w:left w:val="nil"/>
          <w:bottom w:val="nil"/>
          <w:right w:val="nil"/>
          <w:insideH w:val="nil"/>
          <w:insideV w:val="nil"/>
        </w:tblBorders>
        <w:tblLayout w:type="fixed"/>
        <w:tblCellMar>
          <w:top w:w="35" w:type="dxa"/>
          <w:left w:w="80" w:type="dxa"/>
          <w:bottom w:w="35" w:type="dxa"/>
          <w:right w:w="80" w:type="dxa"/>
        </w:tblCellMar>
        <w:tblLook w:val="04A0" w:firstRow="1" w:lastRow="0" w:firstColumn="1" w:lastColumn="0" w:noHBand="0" w:noVBand="1"/>
      </w:tblPr>
      <w:tblGrid>
        <w:gridCol w:w="1332"/>
        <w:gridCol w:w="1786"/>
        <w:gridCol w:w="1843"/>
        <w:gridCol w:w="2013"/>
        <w:gridCol w:w="2098"/>
      </w:tblGrid>
      <w:tr w:rsidR="00983C78" w14:paraId="12830185" w14:textId="77777777">
        <w:trPr>
          <w:cantSplit/>
          <w:tblHeader/>
          <w:jc w:val="center"/>
        </w:trPr>
        <w:tc>
          <w:tcPr>
            <w:tcW w:w="1332" w:type="dxa"/>
            <w:tcBorders>
              <w:top w:val="nil"/>
              <w:left w:val="nil"/>
              <w:bottom w:val="nil"/>
              <w:right w:val="nil"/>
            </w:tcBorders>
            <w:vAlign w:val="center"/>
          </w:tcPr>
          <w:p w14:paraId="62173F09" w14:textId="77777777" w:rsidR="00983C78" w:rsidRDefault="00000000">
            <w:pPr>
              <w:keepNext/>
              <w:keepLines/>
              <w:spacing w:line="240" w:lineRule="auto"/>
              <w:ind w:firstLine="0"/>
              <w:jc w:val="center"/>
            </w:pPr>
            <w:r>
              <w:rPr>
                <w:b/>
                <w:sz w:val="20"/>
              </w:rPr>
              <w:t>Method</w:t>
            </w:r>
          </w:p>
        </w:tc>
        <w:tc>
          <w:tcPr>
            <w:tcW w:w="1786" w:type="dxa"/>
            <w:tcBorders>
              <w:top w:val="nil"/>
              <w:left w:val="nil"/>
              <w:bottom w:val="nil"/>
              <w:right w:val="nil"/>
            </w:tcBorders>
            <w:vAlign w:val="center"/>
          </w:tcPr>
          <w:p w14:paraId="30DA1E6D" w14:textId="77777777" w:rsidR="00983C78" w:rsidRDefault="00000000">
            <w:pPr>
              <w:keepNext/>
              <w:keepLines/>
              <w:spacing w:line="240" w:lineRule="auto"/>
              <w:ind w:firstLine="0"/>
              <w:jc w:val="center"/>
            </w:pPr>
            <w:r>
              <w:rPr>
                <w:b/>
                <w:sz w:val="20"/>
              </w:rPr>
              <w:t>Accuracy</w:t>
            </w:r>
          </w:p>
        </w:tc>
        <w:tc>
          <w:tcPr>
            <w:tcW w:w="1843" w:type="dxa"/>
            <w:tcBorders>
              <w:top w:val="nil"/>
              <w:left w:val="nil"/>
              <w:bottom w:val="nil"/>
              <w:right w:val="nil"/>
            </w:tcBorders>
            <w:vAlign w:val="center"/>
          </w:tcPr>
          <w:p w14:paraId="3ACE137D" w14:textId="77777777" w:rsidR="00983C78" w:rsidRDefault="00000000">
            <w:pPr>
              <w:keepNext/>
              <w:keepLines/>
              <w:spacing w:line="240" w:lineRule="auto"/>
              <w:ind w:firstLine="0"/>
              <w:jc w:val="center"/>
            </w:pPr>
            <w:r>
              <w:rPr>
                <w:b/>
                <w:sz w:val="20"/>
              </w:rPr>
              <w:t>MAE</w:t>
            </w:r>
          </w:p>
        </w:tc>
        <w:tc>
          <w:tcPr>
            <w:tcW w:w="2013" w:type="dxa"/>
            <w:tcBorders>
              <w:top w:val="nil"/>
              <w:left w:val="nil"/>
              <w:bottom w:val="nil"/>
              <w:right w:val="nil"/>
            </w:tcBorders>
            <w:vAlign w:val="center"/>
          </w:tcPr>
          <w:p w14:paraId="0ECE7EBA" w14:textId="77777777" w:rsidR="00983C78" w:rsidRDefault="00000000">
            <w:pPr>
              <w:keepNext/>
              <w:keepLines/>
              <w:spacing w:line="240" w:lineRule="auto"/>
              <w:ind w:firstLine="0"/>
              <w:jc w:val="center"/>
            </w:pPr>
            <w:r>
              <w:rPr>
                <w:b/>
                <w:sz w:val="20"/>
              </w:rPr>
              <w:t>QWK</w:t>
            </w:r>
          </w:p>
        </w:tc>
        <w:tc>
          <w:tcPr>
            <w:tcW w:w="2098" w:type="dxa"/>
            <w:tcBorders>
              <w:top w:val="nil"/>
              <w:left w:val="nil"/>
              <w:bottom w:val="nil"/>
              <w:right w:val="nil"/>
            </w:tcBorders>
            <w:vAlign w:val="center"/>
          </w:tcPr>
          <w:p w14:paraId="22E050A8" w14:textId="77777777" w:rsidR="00983C78" w:rsidRDefault="00000000">
            <w:pPr>
              <w:keepNext/>
              <w:keepLines/>
              <w:spacing w:line="240" w:lineRule="auto"/>
              <w:ind w:firstLine="0"/>
              <w:jc w:val="center"/>
            </w:pPr>
            <w:r>
              <w:rPr>
                <w:b/>
                <w:sz w:val="20"/>
              </w:rPr>
              <w:t>Spearman</w:t>
            </w:r>
          </w:p>
        </w:tc>
      </w:tr>
      <w:tr w:rsidR="00983C78" w14:paraId="0CF68802" w14:textId="77777777">
        <w:trPr>
          <w:cantSplit/>
          <w:jc w:val="center"/>
        </w:trPr>
        <w:tc>
          <w:tcPr>
            <w:tcW w:w="1332" w:type="dxa"/>
            <w:tcBorders>
              <w:top w:val="nil"/>
              <w:left w:val="nil"/>
              <w:bottom w:val="nil"/>
              <w:right w:val="nil"/>
            </w:tcBorders>
            <w:vAlign w:val="center"/>
          </w:tcPr>
          <w:p w14:paraId="46DDFF8B" w14:textId="77777777" w:rsidR="00983C78" w:rsidRDefault="00000000">
            <w:pPr>
              <w:keepNext/>
              <w:keepLines/>
              <w:spacing w:line="240" w:lineRule="auto"/>
              <w:ind w:firstLine="0"/>
              <w:jc w:val="left"/>
            </w:pPr>
            <w:r>
              <w:rPr>
                <w:sz w:val="20"/>
              </w:rPr>
              <w:t>Static</w:t>
            </w:r>
          </w:p>
        </w:tc>
        <w:tc>
          <w:tcPr>
            <w:tcW w:w="1786" w:type="dxa"/>
            <w:tcBorders>
              <w:top w:val="nil"/>
              <w:left w:val="nil"/>
              <w:bottom w:val="nil"/>
              <w:right w:val="nil"/>
            </w:tcBorders>
            <w:vAlign w:val="center"/>
          </w:tcPr>
          <w:p w14:paraId="4DA14220" w14:textId="77777777" w:rsidR="00983C78" w:rsidRDefault="00000000">
            <w:pPr>
              <w:keepNext/>
              <w:keepLines/>
              <w:spacing w:line="240" w:lineRule="auto"/>
              <w:ind w:firstLine="0"/>
              <w:jc w:val="center"/>
            </w:pPr>
            <w:r>
              <w:rPr>
                <w:sz w:val="20"/>
              </w:rPr>
              <w:t>0.2400 [0.1400, 0.3400]</w:t>
            </w:r>
          </w:p>
        </w:tc>
        <w:tc>
          <w:tcPr>
            <w:tcW w:w="1843" w:type="dxa"/>
            <w:tcBorders>
              <w:top w:val="nil"/>
              <w:left w:val="nil"/>
              <w:bottom w:val="nil"/>
              <w:right w:val="nil"/>
            </w:tcBorders>
            <w:vAlign w:val="center"/>
          </w:tcPr>
          <w:p w14:paraId="3E729C2B" w14:textId="77777777" w:rsidR="00983C78" w:rsidRDefault="00000000">
            <w:pPr>
              <w:keepNext/>
              <w:keepLines/>
              <w:spacing w:line="240" w:lineRule="auto"/>
              <w:ind w:firstLine="0"/>
              <w:jc w:val="center"/>
            </w:pPr>
            <w:r>
              <w:rPr>
                <w:sz w:val="20"/>
              </w:rPr>
              <w:t>1.0800 [0.8400, 1.3800]</w:t>
            </w:r>
          </w:p>
        </w:tc>
        <w:tc>
          <w:tcPr>
            <w:tcW w:w="2013" w:type="dxa"/>
            <w:tcBorders>
              <w:top w:val="nil"/>
              <w:left w:val="nil"/>
              <w:bottom w:val="nil"/>
              <w:right w:val="nil"/>
            </w:tcBorders>
            <w:vAlign w:val="center"/>
          </w:tcPr>
          <w:p w14:paraId="4DDDEF98" w14:textId="77777777" w:rsidR="00983C78" w:rsidRDefault="00000000">
            <w:pPr>
              <w:keepNext/>
              <w:keepLines/>
              <w:spacing w:line="240" w:lineRule="auto"/>
              <w:ind w:firstLine="0"/>
              <w:jc w:val="center"/>
            </w:pPr>
            <w:r>
              <w:rPr>
                <w:sz w:val="20"/>
              </w:rPr>
              <w:t>0.2730 [0.0187, 0.5325]</w:t>
            </w:r>
          </w:p>
        </w:tc>
        <w:tc>
          <w:tcPr>
            <w:tcW w:w="2098" w:type="dxa"/>
            <w:tcBorders>
              <w:top w:val="nil"/>
              <w:left w:val="nil"/>
              <w:bottom w:val="nil"/>
              <w:right w:val="nil"/>
            </w:tcBorders>
            <w:vAlign w:val="center"/>
          </w:tcPr>
          <w:p w14:paraId="563D691E" w14:textId="77777777" w:rsidR="00983C78" w:rsidRDefault="00000000">
            <w:pPr>
              <w:keepNext/>
              <w:keepLines/>
              <w:spacing w:line="240" w:lineRule="auto"/>
              <w:ind w:firstLine="0"/>
              <w:jc w:val="center"/>
            </w:pPr>
            <w:r>
              <w:rPr>
                <w:sz w:val="20"/>
              </w:rPr>
              <w:t>0.3902 [0.1251, 0.6392]</w:t>
            </w:r>
          </w:p>
        </w:tc>
      </w:tr>
      <w:tr w:rsidR="00983C78" w14:paraId="06D00D09" w14:textId="77777777">
        <w:trPr>
          <w:cantSplit/>
          <w:jc w:val="center"/>
        </w:trPr>
        <w:tc>
          <w:tcPr>
            <w:tcW w:w="1332" w:type="dxa"/>
            <w:tcBorders>
              <w:top w:val="nil"/>
              <w:left w:val="nil"/>
              <w:bottom w:val="nil"/>
              <w:right w:val="nil"/>
            </w:tcBorders>
            <w:vAlign w:val="center"/>
          </w:tcPr>
          <w:p w14:paraId="68CC5B9D" w14:textId="77777777" w:rsidR="00983C78" w:rsidRDefault="00000000">
            <w:pPr>
              <w:keepNext/>
              <w:keepLines/>
              <w:spacing w:line="240" w:lineRule="auto"/>
              <w:ind w:firstLine="0"/>
              <w:jc w:val="left"/>
            </w:pPr>
            <w:r>
              <w:rPr>
                <w:sz w:val="20"/>
              </w:rPr>
              <w:t>Batch</w:t>
            </w:r>
          </w:p>
        </w:tc>
        <w:tc>
          <w:tcPr>
            <w:tcW w:w="1786" w:type="dxa"/>
            <w:tcBorders>
              <w:top w:val="nil"/>
              <w:left w:val="nil"/>
              <w:bottom w:val="nil"/>
              <w:right w:val="nil"/>
            </w:tcBorders>
            <w:vAlign w:val="center"/>
          </w:tcPr>
          <w:p w14:paraId="02E37A4B" w14:textId="77777777" w:rsidR="00983C78" w:rsidRDefault="00000000">
            <w:pPr>
              <w:keepNext/>
              <w:keepLines/>
              <w:spacing w:line="240" w:lineRule="auto"/>
              <w:ind w:firstLine="0"/>
              <w:jc w:val="center"/>
            </w:pPr>
            <w:r>
              <w:rPr>
                <w:sz w:val="20"/>
              </w:rPr>
              <w:t>0.2470 [0.1515, 0.3475]</w:t>
            </w:r>
          </w:p>
        </w:tc>
        <w:tc>
          <w:tcPr>
            <w:tcW w:w="1843" w:type="dxa"/>
            <w:tcBorders>
              <w:top w:val="nil"/>
              <w:left w:val="nil"/>
              <w:bottom w:val="nil"/>
              <w:right w:val="nil"/>
            </w:tcBorders>
            <w:vAlign w:val="center"/>
          </w:tcPr>
          <w:p w14:paraId="6BD74411" w14:textId="77777777" w:rsidR="00983C78" w:rsidRDefault="00000000">
            <w:pPr>
              <w:keepNext/>
              <w:keepLines/>
              <w:spacing w:line="240" w:lineRule="auto"/>
              <w:ind w:firstLine="0"/>
              <w:jc w:val="center"/>
            </w:pPr>
            <w:r>
              <w:rPr>
                <w:sz w:val="20"/>
              </w:rPr>
              <w:t>1.0700 [0.8230, 1.3625]</w:t>
            </w:r>
          </w:p>
        </w:tc>
        <w:tc>
          <w:tcPr>
            <w:tcW w:w="2013" w:type="dxa"/>
            <w:tcBorders>
              <w:top w:val="nil"/>
              <w:left w:val="nil"/>
              <w:bottom w:val="nil"/>
              <w:right w:val="nil"/>
            </w:tcBorders>
            <w:vAlign w:val="center"/>
          </w:tcPr>
          <w:p w14:paraId="3C5B428E" w14:textId="77777777" w:rsidR="00983C78" w:rsidRDefault="00000000">
            <w:pPr>
              <w:keepNext/>
              <w:keepLines/>
              <w:spacing w:line="240" w:lineRule="auto"/>
              <w:ind w:firstLine="0"/>
              <w:jc w:val="center"/>
            </w:pPr>
            <w:r>
              <w:rPr>
                <w:sz w:val="20"/>
              </w:rPr>
              <w:t>0.2809 [0.0245, 0.5396]</w:t>
            </w:r>
          </w:p>
        </w:tc>
        <w:tc>
          <w:tcPr>
            <w:tcW w:w="2098" w:type="dxa"/>
            <w:tcBorders>
              <w:top w:val="nil"/>
              <w:left w:val="nil"/>
              <w:bottom w:val="nil"/>
              <w:right w:val="nil"/>
            </w:tcBorders>
            <w:vAlign w:val="center"/>
          </w:tcPr>
          <w:p w14:paraId="14150E3E" w14:textId="77777777" w:rsidR="00983C78" w:rsidRDefault="00000000">
            <w:pPr>
              <w:keepNext/>
              <w:keepLines/>
              <w:spacing w:line="240" w:lineRule="auto"/>
              <w:ind w:firstLine="0"/>
              <w:jc w:val="center"/>
            </w:pPr>
            <w:r>
              <w:rPr>
                <w:sz w:val="20"/>
              </w:rPr>
              <w:t>0.3985 [0.1345, 0.6455]</w:t>
            </w:r>
          </w:p>
        </w:tc>
      </w:tr>
      <w:tr w:rsidR="00983C78" w14:paraId="13DB2DF6" w14:textId="77777777">
        <w:trPr>
          <w:cantSplit/>
          <w:jc w:val="center"/>
        </w:trPr>
        <w:tc>
          <w:tcPr>
            <w:tcW w:w="1332" w:type="dxa"/>
            <w:tcBorders>
              <w:top w:val="nil"/>
              <w:left w:val="nil"/>
              <w:bottom w:val="nil"/>
              <w:right w:val="nil"/>
            </w:tcBorders>
            <w:vAlign w:val="center"/>
          </w:tcPr>
          <w:p w14:paraId="7690C1B2" w14:textId="77777777" w:rsidR="00983C78" w:rsidRDefault="00000000">
            <w:pPr>
              <w:keepLines/>
              <w:spacing w:line="240" w:lineRule="auto"/>
              <w:ind w:firstLine="0"/>
              <w:jc w:val="left"/>
            </w:pPr>
            <w:r>
              <w:rPr>
                <w:sz w:val="20"/>
              </w:rPr>
              <w:t>Sequential</w:t>
            </w:r>
          </w:p>
        </w:tc>
        <w:tc>
          <w:tcPr>
            <w:tcW w:w="1786" w:type="dxa"/>
            <w:tcBorders>
              <w:top w:val="nil"/>
              <w:left w:val="nil"/>
              <w:bottom w:val="nil"/>
              <w:right w:val="nil"/>
            </w:tcBorders>
            <w:vAlign w:val="center"/>
          </w:tcPr>
          <w:p w14:paraId="2A63C90B" w14:textId="77777777" w:rsidR="00983C78" w:rsidRDefault="00000000">
            <w:pPr>
              <w:keepLines/>
              <w:spacing w:line="240" w:lineRule="auto"/>
              <w:ind w:firstLine="0"/>
              <w:jc w:val="center"/>
            </w:pPr>
            <w:r>
              <w:rPr>
                <w:sz w:val="20"/>
              </w:rPr>
              <w:t>0.2500 [0.1550, 0.3500]</w:t>
            </w:r>
          </w:p>
        </w:tc>
        <w:tc>
          <w:tcPr>
            <w:tcW w:w="1843" w:type="dxa"/>
            <w:tcBorders>
              <w:top w:val="nil"/>
              <w:left w:val="nil"/>
              <w:bottom w:val="nil"/>
              <w:right w:val="nil"/>
            </w:tcBorders>
            <w:vAlign w:val="center"/>
          </w:tcPr>
          <w:p w14:paraId="51247CBE" w14:textId="77777777" w:rsidR="00983C78" w:rsidRDefault="00000000">
            <w:pPr>
              <w:keepLines/>
              <w:spacing w:line="240" w:lineRule="auto"/>
              <w:ind w:firstLine="0"/>
              <w:jc w:val="center"/>
            </w:pPr>
            <w:r>
              <w:rPr>
                <w:sz w:val="20"/>
              </w:rPr>
              <w:t>1.0475 [0.8040, 1.3390]</w:t>
            </w:r>
          </w:p>
        </w:tc>
        <w:tc>
          <w:tcPr>
            <w:tcW w:w="2013" w:type="dxa"/>
            <w:tcBorders>
              <w:top w:val="nil"/>
              <w:left w:val="nil"/>
              <w:bottom w:val="nil"/>
              <w:right w:val="nil"/>
            </w:tcBorders>
            <w:vAlign w:val="center"/>
          </w:tcPr>
          <w:p w14:paraId="7FD26561" w14:textId="77777777" w:rsidR="00983C78" w:rsidRDefault="00000000">
            <w:pPr>
              <w:keepLines/>
              <w:spacing w:line="240" w:lineRule="auto"/>
              <w:ind w:firstLine="0"/>
              <w:jc w:val="center"/>
            </w:pPr>
            <w:r>
              <w:rPr>
                <w:sz w:val="20"/>
              </w:rPr>
              <w:t>0.3094 [0.0540, 0.5609]</w:t>
            </w:r>
          </w:p>
        </w:tc>
        <w:tc>
          <w:tcPr>
            <w:tcW w:w="2098" w:type="dxa"/>
            <w:tcBorders>
              <w:top w:val="nil"/>
              <w:left w:val="nil"/>
              <w:bottom w:val="nil"/>
              <w:right w:val="nil"/>
            </w:tcBorders>
            <w:vAlign w:val="center"/>
          </w:tcPr>
          <w:p w14:paraId="45882AB5" w14:textId="77777777" w:rsidR="00983C78" w:rsidRDefault="00000000">
            <w:pPr>
              <w:keepLines/>
              <w:spacing w:line="240" w:lineRule="auto"/>
              <w:ind w:firstLine="0"/>
              <w:jc w:val="center"/>
            </w:pPr>
            <w:r>
              <w:rPr>
                <w:sz w:val="20"/>
              </w:rPr>
              <w:t>0.4230 [0.1619, 0.6626]</w:t>
            </w:r>
          </w:p>
        </w:tc>
      </w:tr>
    </w:tbl>
    <w:p w14:paraId="5A7EDF6D" w14:textId="77777777" w:rsidR="00983C78" w:rsidRDefault="00983C78">
      <w:pPr>
        <w:pStyle w:val="NormalFirstParagraph"/>
      </w:pPr>
    </w:p>
    <w:p w14:paraId="504E471E" w14:textId="77777777" w:rsidR="00983C78" w:rsidRDefault="00000000">
      <w:r>
        <w:t>Table 2 reports the paired Sequential-minus-Batch contrasts. All four agreement intervals include zero. The revised analysis therefore does not present the observed agreement differences as an established advantage of Sequential construction. The point estimates retain the original unweighted mean of block-by-order condition statistics rather than pooled QWK or Spearman values.</w:t>
      </w:r>
    </w:p>
    <w:p w14:paraId="660B20AA" w14:textId="77777777" w:rsidR="00983C78" w:rsidRDefault="00000000">
      <w:pPr>
        <w:pStyle w:val="Legend"/>
        <w:keepLines/>
      </w:pPr>
      <w:r>
        <w:t>Table 2. Paired Sequential-minus-Batch agreement differences with 95% intervals.</w:t>
      </w:r>
    </w:p>
    <w:tbl>
      <w:tblPr>
        <w:tblW w:w="9072" w:type="dxa"/>
        <w:jc w:val="center"/>
        <w:tblBorders>
          <w:top w:val="nil"/>
          <w:left w:val="nil"/>
          <w:bottom w:val="nil"/>
          <w:right w:val="nil"/>
          <w:insideH w:val="nil"/>
          <w:insideV w:val="nil"/>
        </w:tblBorders>
        <w:tblLayout w:type="fixed"/>
        <w:tblCellMar>
          <w:top w:w="35" w:type="dxa"/>
          <w:left w:w="80" w:type="dxa"/>
          <w:bottom w:w="35" w:type="dxa"/>
          <w:right w:w="80" w:type="dxa"/>
        </w:tblCellMar>
        <w:tblLook w:val="04A0" w:firstRow="1" w:lastRow="0" w:firstColumn="1" w:lastColumn="0" w:noHBand="0" w:noVBand="1"/>
      </w:tblPr>
      <w:tblGrid>
        <w:gridCol w:w="2780"/>
        <w:gridCol w:w="2341"/>
        <w:gridCol w:w="3951"/>
      </w:tblGrid>
      <w:tr w:rsidR="00983C78" w14:paraId="692B08DE" w14:textId="77777777">
        <w:trPr>
          <w:cantSplit/>
          <w:tblHeader/>
          <w:jc w:val="center"/>
        </w:trPr>
        <w:tc>
          <w:tcPr>
            <w:tcW w:w="2154" w:type="dxa"/>
            <w:tcBorders>
              <w:top w:val="nil"/>
              <w:left w:val="nil"/>
              <w:bottom w:val="nil"/>
              <w:right w:val="nil"/>
            </w:tcBorders>
            <w:vAlign w:val="center"/>
          </w:tcPr>
          <w:p w14:paraId="53F100A2" w14:textId="77777777" w:rsidR="00983C78" w:rsidRDefault="00000000">
            <w:pPr>
              <w:keepNext/>
              <w:keepLines/>
              <w:spacing w:line="240" w:lineRule="auto"/>
              <w:ind w:firstLine="0"/>
              <w:jc w:val="center"/>
            </w:pPr>
            <w:r>
              <w:rPr>
                <w:b/>
                <w:sz w:val="20"/>
              </w:rPr>
              <w:t>Metric</w:t>
            </w:r>
          </w:p>
        </w:tc>
        <w:tc>
          <w:tcPr>
            <w:tcW w:w="1814" w:type="dxa"/>
            <w:tcBorders>
              <w:top w:val="nil"/>
              <w:left w:val="nil"/>
              <w:bottom w:val="nil"/>
              <w:right w:val="nil"/>
            </w:tcBorders>
            <w:vAlign w:val="center"/>
          </w:tcPr>
          <w:p w14:paraId="5FB22FC0" w14:textId="77777777" w:rsidR="00983C78" w:rsidRDefault="00000000">
            <w:pPr>
              <w:keepNext/>
              <w:keepLines/>
              <w:spacing w:line="240" w:lineRule="auto"/>
              <w:ind w:firstLine="0"/>
              <w:jc w:val="center"/>
            </w:pPr>
            <w:r>
              <w:rPr>
                <w:b/>
                <w:sz w:val="20"/>
              </w:rPr>
              <w:t>Difference</w:t>
            </w:r>
          </w:p>
        </w:tc>
        <w:tc>
          <w:tcPr>
            <w:tcW w:w="3061" w:type="dxa"/>
            <w:tcBorders>
              <w:top w:val="nil"/>
              <w:left w:val="nil"/>
              <w:bottom w:val="nil"/>
              <w:right w:val="nil"/>
            </w:tcBorders>
            <w:vAlign w:val="center"/>
          </w:tcPr>
          <w:p w14:paraId="51DEBDFA" w14:textId="77777777" w:rsidR="00983C78" w:rsidRDefault="00000000">
            <w:pPr>
              <w:keepNext/>
              <w:keepLines/>
              <w:spacing w:line="240" w:lineRule="auto"/>
              <w:ind w:firstLine="0"/>
              <w:jc w:val="center"/>
            </w:pPr>
            <w:r>
              <w:rPr>
                <w:b/>
                <w:sz w:val="20"/>
              </w:rPr>
              <w:t>95% interval</w:t>
            </w:r>
          </w:p>
        </w:tc>
      </w:tr>
      <w:tr w:rsidR="00983C78" w14:paraId="6A07E893" w14:textId="77777777">
        <w:trPr>
          <w:cantSplit/>
          <w:jc w:val="center"/>
        </w:trPr>
        <w:tc>
          <w:tcPr>
            <w:tcW w:w="2154" w:type="dxa"/>
            <w:tcBorders>
              <w:top w:val="nil"/>
              <w:left w:val="nil"/>
              <w:bottom w:val="nil"/>
              <w:right w:val="nil"/>
            </w:tcBorders>
            <w:vAlign w:val="center"/>
          </w:tcPr>
          <w:p w14:paraId="33001FD0" w14:textId="77777777" w:rsidR="00983C78" w:rsidRDefault="00000000">
            <w:pPr>
              <w:keepNext/>
              <w:keepLines/>
              <w:spacing w:line="240" w:lineRule="auto"/>
              <w:ind w:firstLine="0"/>
              <w:jc w:val="left"/>
            </w:pPr>
            <w:r>
              <w:rPr>
                <w:sz w:val="20"/>
              </w:rPr>
              <w:t>QWK</w:t>
            </w:r>
          </w:p>
        </w:tc>
        <w:tc>
          <w:tcPr>
            <w:tcW w:w="1814" w:type="dxa"/>
            <w:tcBorders>
              <w:top w:val="nil"/>
              <w:left w:val="nil"/>
              <w:bottom w:val="nil"/>
              <w:right w:val="nil"/>
            </w:tcBorders>
            <w:vAlign w:val="center"/>
          </w:tcPr>
          <w:p w14:paraId="26D14F5F" w14:textId="77777777" w:rsidR="00983C78" w:rsidRDefault="00000000">
            <w:pPr>
              <w:keepNext/>
              <w:keepLines/>
              <w:spacing w:line="240" w:lineRule="auto"/>
              <w:ind w:firstLine="0"/>
              <w:jc w:val="center"/>
            </w:pPr>
            <w:r>
              <w:rPr>
                <w:sz w:val="20"/>
              </w:rPr>
              <w:t>0.0285</w:t>
            </w:r>
          </w:p>
        </w:tc>
        <w:tc>
          <w:tcPr>
            <w:tcW w:w="3061" w:type="dxa"/>
            <w:tcBorders>
              <w:top w:val="nil"/>
              <w:left w:val="nil"/>
              <w:bottom w:val="nil"/>
              <w:right w:val="nil"/>
            </w:tcBorders>
            <w:vAlign w:val="center"/>
          </w:tcPr>
          <w:p w14:paraId="46DEBD10" w14:textId="77777777" w:rsidR="00983C78" w:rsidRDefault="00000000">
            <w:pPr>
              <w:keepNext/>
              <w:keepLines/>
              <w:spacing w:line="240" w:lineRule="auto"/>
              <w:ind w:firstLine="0"/>
              <w:jc w:val="center"/>
            </w:pPr>
            <w:r>
              <w:rPr>
                <w:sz w:val="20"/>
              </w:rPr>
              <w:t>[-0.0062, 0.0757]</w:t>
            </w:r>
          </w:p>
        </w:tc>
      </w:tr>
      <w:tr w:rsidR="00983C78" w14:paraId="692398AB" w14:textId="77777777">
        <w:trPr>
          <w:cantSplit/>
          <w:jc w:val="center"/>
        </w:trPr>
        <w:tc>
          <w:tcPr>
            <w:tcW w:w="2154" w:type="dxa"/>
            <w:tcBorders>
              <w:top w:val="nil"/>
              <w:left w:val="nil"/>
              <w:bottom w:val="nil"/>
              <w:right w:val="nil"/>
            </w:tcBorders>
            <w:vAlign w:val="center"/>
          </w:tcPr>
          <w:p w14:paraId="4C724078" w14:textId="77777777" w:rsidR="00983C78" w:rsidRDefault="00000000">
            <w:pPr>
              <w:keepNext/>
              <w:keepLines/>
              <w:spacing w:line="240" w:lineRule="auto"/>
              <w:ind w:firstLine="0"/>
              <w:jc w:val="left"/>
            </w:pPr>
            <w:r>
              <w:rPr>
                <w:sz w:val="20"/>
              </w:rPr>
              <w:t>Spearman</w:t>
            </w:r>
          </w:p>
        </w:tc>
        <w:tc>
          <w:tcPr>
            <w:tcW w:w="1814" w:type="dxa"/>
            <w:tcBorders>
              <w:top w:val="nil"/>
              <w:left w:val="nil"/>
              <w:bottom w:val="nil"/>
              <w:right w:val="nil"/>
            </w:tcBorders>
            <w:vAlign w:val="center"/>
          </w:tcPr>
          <w:p w14:paraId="5620191A" w14:textId="77777777" w:rsidR="00983C78" w:rsidRDefault="00000000">
            <w:pPr>
              <w:keepNext/>
              <w:keepLines/>
              <w:spacing w:line="240" w:lineRule="auto"/>
              <w:ind w:firstLine="0"/>
              <w:jc w:val="center"/>
            </w:pPr>
            <w:r>
              <w:rPr>
                <w:sz w:val="20"/>
              </w:rPr>
              <w:t>0.0246</w:t>
            </w:r>
          </w:p>
        </w:tc>
        <w:tc>
          <w:tcPr>
            <w:tcW w:w="3061" w:type="dxa"/>
            <w:tcBorders>
              <w:top w:val="nil"/>
              <w:left w:val="nil"/>
              <w:bottom w:val="nil"/>
              <w:right w:val="nil"/>
            </w:tcBorders>
            <w:vAlign w:val="center"/>
          </w:tcPr>
          <w:p w14:paraId="286FEEA9" w14:textId="77777777" w:rsidR="00983C78" w:rsidRDefault="00000000">
            <w:pPr>
              <w:keepNext/>
              <w:keepLines/>
              <w:spacing w:line="240" w:lineRule="auto"/>
              <w:ind w:firstLine="0"/>
              <w:jc w:val="center"/>
            </w:pPr>
            <w:r>
              <w:rPr>
                <w:sz w:val="20"/>
              </w:rPr>
              <w:t>[-0.0056, 0.0719]</w:t>
            </w:r>
          </w:p>
        </w:tc>
      </w:tr>
      <w:tr w:rsidR="00983C78" w14:paraId="4C0317BA" w14:textId="77777777">
        <w:trPr>
          <w:cantSplit/>
          <w:jc w:val="center"/>
        </w:trPr>
        <w:tc>
          <w:tcPr>
            <w:tcW w:w="2154" w:type="dxa"/>
            <w:tcBorders>
              <w:top w:val="nil"/>
              <w:left w:val="nil"/>
              <w:bottom w:val="nil"/>
              <w:right w:val="nil"/>
            </w:tcBorders>
            <w:vAlign w:val="center"/>
          </w:tcPr>
          <w:p w14:paraId="15A4B8B5" w14:textId="77777777" w:rsidR="00983C78" w:rsidRDefault="00000000">
            <w:pPr>
              <w:keepNext/>
              <w:keepLines/>
              <w:spacing w:line="240" w:lineRule="auto"/>
              <w:ind w:firstLine="0"/>
              <w:jc w:val="left"/>
            </w:pPr>
            <w:r>
              <w:rPr>
                <w:sz w:val="20"/>
              </w:rPr>
              <w:t>MAE</w:t>
            </w:r>
          </w:p>
        </w:tc>
        <w:tc>
          <w:tcPr>
            <w:tcW w:w="1814" w:type="dxa"/>
            <w:tcBorders>
              <w:top w:val="nil"/>
              <w:left w:val="nil"/>
              <w:bottom w:val="nil"/>
              <w:right w:val="nil"/>
            </w:tcBorders>
            <w:vAlign w:val="center"/>
          </w:tcPr>
          <w:p w14:paraId="6B4EB066" w14:textId="77777777" w:rsidR="00983C78" w:rsidRDefault="00000000">
            <w:pPr>
              <w:keepNext/>
              <w:keepLines/>
              <w:spacing w:line="240" w:lineRule="auto"/>
              <w:ind w:firstLine="0"/>
              <w:jc w:val="center"/>
            </w:pPr>
            <w:r>
              <w:rPr>
                <w:sz w:val="20"/>
              </w:rPr>
              <w:t>-0.0225</w:t>
            </w:r>
          </w:p>
        </w:tc>
        <w:tc>
          <w:tcPr>
            <w:tcW w:w="3061" w:type="dxa"/>
            <w:tcBorders>
              <w:top w:val="nil"/>
              <w:left w:val="nil"/>
              <w:bottom w:val="nil"/>
              <w:right w:val="nil"/>
            </w:tcBorders>
            <w:vAlign w:val="center"/>
          </w:tcPr>
          <w:p w14:paraId="44D21F2F" w14:textId="77777777" w:rsidR="00983C78" w:rsidRDefault="00000000">
            <w:pPr>
              <w:keepNext/>
              <w:keepLines/>
              <w:spacing w:line="240" w:lineRule="auto"/>
              <w:ind w:firstLine="0"/>
              <w:jc w:val="center"/>
            </w:pPr>
            <w:r>
              <w:rPr>
                <w:sz w:val="20"/>
              </w:rPr>
              <w:t>[-0.0645, 0.0080]</w:t>
            </w:r>
          </w:p>
        </w:tc>
      </w:tr>
      <w:tr w:rsidR="00983C78" w14:paraId="3E815309" w14:textId="77777777">
        <w:trPr>
          <w:cantSplit/>
          <w:jc w:val="center"/>
        </w:trPr>
        <w:tc>
          <w:tcPr>
            <w:tcW w:w="2154" w:type="dxa"/>
            <w:tcBorders>
              <w:top w:val="nil"/>
              <w:left w:val="nil"/>
              <w:bottom w:val="nil"/>
              <w:right w:val="nil"/>
            </w:tcBorders>
            <w:vAlign w:val="center"/>
          </w:tcPr>
          <w:p w14:paraId="2DB2299E" w14:textId="77777777" w:rsidR="00983C78" w:rsidRDefault="00000000">
            <w:pPr>
              <w:keepLines/>
              <w:spacing w:line="240" w:lineRule="auto"/>
              <w:ind w:firstLine="0"/>
              <w:jc w:val="left"/>
            </w:pPr>
            <w:r>
              <w:rPr>
                <w:sz w:val="20"/>
              </w:rPr>
              <w:t>Accuracy</w:t>
            </w:r>
          </w:p>
        </w:tc>
        <w:tc>
          <w:tcPr>
            <w:tcW w:w="1814" w:type="dxa"/>
            <w:tcBorders>
              <w:top w:val="nil"/>
              <w:left w:val="nil"/>
              <w:bottom w:val="nil"/>
              <w:right w:val="nil"/>
            </w:tcBorders>
            <w:vAlign w:val="center"/>
          </w:tcPr>
          <w:p w14:paraId="26F34D38" w14:textId="77777777" w:rsidR="00983C78" w:rsidRDefault="00000000">
            <w:pPr>
              <w:keepLines/>
              <w:spacing w:line="240" w:lineRule="auto"/>
              <w:ind w:firstLine="0"/>
              <w:jc w:val="center"/>
            </w:pPr>
            <w:r>
              <w:rPr>
                <w:sz w:val="20"/>
              </w:rPr>
              <w:t>0.0030</w:t>
            </w:r>
          </w:p>
        </w:tc>
        <w:tc>
          <w:tcPr>
            <w:tcW w:w="3061" w:type="dxa"/>
            <w:tcBorders>
              <w:top w:val="nil"/>
              <w:left w:val="nil"/>
              <w:bottom w:val="nil"/>
              <w:right w:val="nil"/>
            </w:tcBorders>
            <w:vAlign w:val="center"/>
          </w:tcPr>
          <w:p w14:paraId="5EE6275F" w14:textId="77777777" w:rsidR="00983C78" w:rsidRDefault="00000000">
            <w:pPr>
              <w:keepLines/>
              <w:spacing w:line="240" w:lineRule="auto"/>
              <w:ind w:firstLine="0"/>
              <w:jc w:val="center"/>
            </w:pPr>
            <w:r>
              <w:rPr>
                <w:sz w:val="20"/>
              </w:rPr>
              <w:t>[-0.0225, 0.0345]</w:t>
            </w:r>
          </w:p>
        </w:tc>
      </w:tr>
    </w:tbl>
    <w:p w14:paraId="025B4CDA" w14:textId="77777777" w:rsidR="00983C78" w:rsidRDefault="00983C78">
      <w:pPr>
        <w:pStyle w:val="NormalFirstParagraph"/>
      </w:pPr>
    </w:p>
    <w:p w14:paraId="039FECBD" w14:textId="77777777" w:rsidR="00983C78" w:rsidRDefault="00000000">
      <w:pPr>
        <w:pStyle w:val="Titlu2"/>
      </w:pPr>
      <w:r>
        <w:t>5.2. Calibration Order Sensitivity</w:t>
      </w:r>
    </w:p>
    <w:p w14:paraId="2949C237" w14:textId="393DA6FE" w:rsidR="00983C78" w:rsidRDefault="000F1038">
      <w:pPr>
        <w:pStyle w:val="NormalFirstParagraph"/>
      </w:pPr>
      <w:r w:rsidRPr="000F1038">
        <w:t>Across the evaluated calibration orderings, sequential construction exhibits greater score variability than batch construction.</w:t>
      </w:r>
      <w:r w:rsidR="00000000">
        <w:t xml:space="preserve"> Primary instability is 0.0637 for Sequential and 0.0318 for Batch. The paired difference is 0.0319 with a 95% interval of [0.0002, 0.0718], whose lower endpoint lies narrowly above zero. Score-change rates are 0.136 and 0.070 respectively, but the paired interval for their difference includes zero.</w:t>
      </w:r>
    </w:p>
    <w:p w14:paraId="0DAC8141" w14:textId="77777777" w:rsidR="00983C78" w:rsidRDefault="00000000">
      <w:pPr>
        <w:pStyle w:val="Legend"/>
        <w:keepLines/>
      </w:pPr>
      <w:r>
        <w:t>Table 3. Calibration-order sensitivity. Method rows report estimates with 95% intervals; the final row reports paired Sequential-minus-Batch differences.</w:t>
      </w:r>
    </w:p>
    <w:tbl>
      <w:tblPr>
        <w:tblW w:w="9072" w:type="dxa"/>
        <w:jc w:val="center"/>
        <w:tblBorders>
          <w:top w:val="nil"/>
          <w:left w:val="nil"/>
          <w:bottom w:val="nil"/>
          <w:right w:val="nil"/>
          <w:insideH w:val="nil"/>
          <w:insideV w:val="nil"/>
        </w:tblBorders>
        <w:tblLayout w:type="fixed"/>
        <w:tblCellMar>
          <w:top w:w="35" w:type="dxa"/>
          <w:left w:w="80" w:type="dxa"/>
          <w:bottom w:w="35" w:type="dxa"/>
          <w:right w:w="80" w:type="dxa"/>
        </w:tblCellMar>
        <w:tblLook w:val="04A0" w:firstRow="1" w:lastRow="0" w:firstColumn="1" w:lastColumn="0" w:noHBand="0" w:noVBand="1"/>
      </w:tblPr>
      <w:tblGrid>
        <w:gridCol w:w="1787"/>
        <w:gridCol w:w="1928"/>
        <w:gridCol w:w="1843"/>
        <w:gridCol w:w="1757"/>
        <w:gridCol w:w="1757"/>
      </w:tblGrid>
      <w:tr w:rsidR="00983C78" w14:paraId="6B03A3E5" w14:textId="77777777">
        <w:trPr>
          <w:cantSplit/>
          <w:tblHeader/>
          <w:jc w:val="center"/>
        </w:trPr>
        <w:tc>
          <w:tcPr>
            <w:tcW w:w="1786" w:type="dxa"/>
            <w:tcBorders>
              <w:top w:val="nil"/>
              <w:left w:val="nil"/>
              <w:bottom w:val="nil"/>
              <w:right w:val="nil"/>
            </w:tcBorders>
            <w:vAlign w:val="center"/>
          </w:tcPr>
          <w:p w14:paraId="2DE75792" w14:textId="77777777" w:rsidR="00983C78" w:rsidRDefault="00000000">
            <w:pPr>
              <w:keepNext/>
              <w:keepLines/>
              <w:spacing w:line="240" w:lineRule="auto"/>
              <w:ind w:firstLine="0"/>
              <w:jc w:val="center"/>
            </w:pPr>
            <w:r>
              <w:rPr>
                <w:b/>
                <w:sz w:val="20"/>
              </w:rPr>
              <w:t>Method/contrast</w:t>
            </w:r>
          </w:p>
        </w:tc>
        <w:tc>
          <w:tcPr>
            <w:tcW w:w="1928" w:type="dxa"/>
            <w:tcBorders>
              <w:top w:val="nil"/>
              <w:left w:val="nil"/>
              <w:bottom w:val="nil"/>
              <w:right w:val="nil"/>
            </w:tcBorders>
            <w:vAlign w:val="center"/>
          </w:tcPr>
          <w:p w14:paraId="1F1739AB" w14:textId="77777777" w:rsidR="00983C78" w:rsidRDefault="00000000">
            <w:pPr>
              <w:keepNext/>
              <w:keepLines/>
              <w:spacing w:line="240" w:lineRule="auto"/>
              <w:ind w:firstLine="0"/>
              <w:jc w:val="center"/>
            </w:pPr>
            <w:r>
              <w:rPr>
                <w:b/>
                <w:sz w:val="20"/>
              </w:rPr>
              <w:t>Primary instability</w:t>
            </w:r>
          </w:p>
        </w:tc>
        <w:tc>
          <w:tcPr>
            <w:tcW w:w="1843" w:type="dxa"/>
            <w:tcBorders>
              <w:top w:val="nil"/>
              <w:left w:val="nil"/>
              <w:bottom w:val="nil"/>
              <w:right w:val="nil"/>
            </w:tcBorders>
            <w:vAlign w:val="center"/>
          </w:tcPr>
          <w:p w14:paraId="590C2B1A" w14:textId="77777777" w:rsidR="00983C78" w:rsidRDefault="00000000">
            <w:pPr>
              <w:keepNext/>
              <w:keepLines/>
              <w:spacing w:line="240" w:lineRule="auto"/>
              <w:ind w:firstLine="0"/>
              <w:jc w:val="center"/>
            </w:pPr>
            <w:r>
              <w:rPr>
                <w:b/>
                <w:sz w:val="20"/>
              </w:rPr>
              <w:t>Score-change rate</w:t>
            </w:r>
          </w:p>
        </w:tc>
        <w:tc>
          <w:tcPr>
            <w:tcW w:w="1757" w:type="dxa"/>
            <w:tcBorders>
              <w:top w:val="nil"/>
              <w:left w:val="nil"/>
              <w:bottom w:val="nil"/>
              <w:right w:val="nil"/>
            </w:tcBorders>
            <w:vAlign w:val="center"/>
          </w:tcPr>
          <w:p w14:paraId="42DE5BB3" w14:textId="77777777" w:rsidR="00983C78" w:rsidRDefault="00000000">
            <w:pPr>
              <w:keepNext/>
              <w:keepLines/>
              <w:spacing w:line="240" w:lineRule="auto"/>
              <w:ind w:firstLine="0"/>
              <w:jc w:val="center"/>
            </w:pPr>
            <w:r>
              <w:rPr>
                <w:b/>
                <w:sz w:val="20"/>
              </w:rPr>
              <w:t>Mean score range</w:t>
            </w:r>
          </w:p>
        </w:tc>
        <w:tc>
          <w:tcPr>
            <w:tcW w:w="1757" w:type="dxa"/>
            <w:tcBorders>
              <w:top w:val="nil"/>
              <w:left w:val="nil"/>
              <w:bottom w:val="nil"/>
              <w:right w:val="nil"/>
            </w:tcBorders>
            <w:vAlign w:val="center"/>
          </w:tcPr>
          <w:p w14:paraId="6770BCB0" w14:textId="77777777" w:rsidR="00983C78" w:rsidRDefault="00000000">
            <w:pPr>
              <w:keepNext/>
              <w:keepLines/>
              <w:spacing w:line="240" w:lineRule="auto"/>
              <w:ind w:firstLine="0"/>
              <w:jc w:val="center"/>
            </w:pPr>
            <w:r>
              <w:rPr>
                <w:b/>
                <w:sz w:val="20"/>
              </w:rPr>
              <w:t>Tie-change rate</w:t>
            </w:r>
          </w:p>
        </w:tc>
      </w:tr>
      <w:tr w:rsidR="00983C78" w14:paraId="56D866A4" w14:textId="77777777">
        <w:trPr>
          <w:cantSplit/>
          <w:jc w:val="center"/>
        </w:trPr>
        <w:tc>
          <w:tcPr>
            <w:tcW w:w="1786" w:type="dxa"/>
            <w:tcBorders>
              <w:top w:val="nil"/>
              <w:left w:val="nil"/>
              <w:bottom w:val="nil"/>
              <w:right w:val="nil"/>
            </w:tcBorders>
            <w:vAlign w:val="center"/>
          </w:tcPr>
          <w:p w14:paraId="05B380FB" w14:textId="77777777" w:rsidR="00983C78" w:rsidRDefault="00000000">
            <w:pPr>
              <w:keepNext/>
              <w:keepLines/>
              <w:spacing w:line="240" w:lineRule="auto"/>
              <w:ind w:firstLine="0"/>
              <w:jc w:val="left"/>
            </w:pPr>
            <w:r>
              <w:rPr>
                <w:sz w:val="20"/>
              </w:rPr>
              <w:t>Batch</w:t>
            </w:r>
          </w:p>
        </w:tc>
        <w:tc>
          <w:tcPr>
            <w:tcW w:w="1928" w:type="dxa"/>
            <w:tcBorders>
              <w:top w:val="nil"/>
              <w:left w:val="nil"/>
              <w:bottom w:val="nil"/>
              <w:right w:val="nil"/>
            </w:tcBorders>
            <w:vAlign w:val="center"/>
          </w:tcPr>
          <w:p w14:paraId="5267C92A" w14:textId="77777777" w:rsidR="00983C78" w:rsidRDefault="00000000">
            <w:pPr>
              <w:keepNext/>
              <w:keepLines/>
              <w:spacing w:line="240" w:lineRule="auto"/>
              <w:ind w:firstLine="0"/>
              <w:jc w:val="center"/>
            </w:pPr>
            <w:r>
              <w:rPr>
                <w:sz w:val="20"/>
              </w:rPr>
              <w:t>0.0318 [0.0087, 0.0658]</w:t>
            </w:r>
          </w:p>
        </w:tc>
        <w:tc>
          <w:tcPr>
            <w:tcW w:w="1843" w:type="dxa"/>
            <w:tcBorders>
              <w:top w:val="nil"/>
              <w:left w:val="nil"/>
              <w:bottom w:val="nil"/>
              <w:right w:val="nil"/>
            </w:tcBorders>
            <w:vAlign w:val="center"/>
          </w:tcPr>
          <w:p w14:paraId="729D41FF" w14:textId="77777777" w:rsidR="00983C78" w:rsidRDefault="00000000">
            <w:pPr>
              <w:keepNext/>
              <w:keepLines/>
              <w:spacing w:line="240" w:lineRule="auto"/>
              <w:ind w:firstLine="0"/>
              <w:jc w:val="center"/>
            </w:pPr>
            <w:r>
              <w:rPr>
                <w:sz w:val="20"/>
              </w:rPr>
              <w:t>0.0700 [0.0180, 0.1440]</w:t>
            </w:r>
          </w:p>
        </w:tc>
        <w:tc>
          <w:tcPr>
            <w:tcW w:w="1757" w:type="dxa"/>
            <w:tcBorders>
              <w:top w:val="nil"/>
              <w:left w:val="nil"/>
              <w:bottom w:val="nil"/>
              <w:right w:val="nil"/>
            </w:tcBorders>
            <w:vAlign w:val="center"/>
          </w:tcPr>
          <w:p w14:paraId="15F9C980" w14:textId="77777777" w:rsidR="00983C78" w:rsidRDefault="00000000">
            <w:pPr>
              <w:keepNext/>
              <w:keepLines/>
              <w:spacing w:line="240" w:lineRule="auto"/>
              <w:ind w:firstLine="0"/>
              <w:jc w:val="center"/>
            </w:pPr>
            <w:r>
              <w:rPr>
                <w:sz w:val="20"/>
              </w:rPr>
              <w:t>0.0720 [0.0200, 0.1480]</w:t>
            </w:r>
          </w:p>
        </w:tc>
        <w:tc>
          <w:tcPr>
            <w:tcW w:w="1757" w:type="dxa"/>
            <w:tcBorders>
              <w:top w:val="nil"/>
              <w:left w:val="nil"/>
              <w:bottom w:val="nil"/>
              <w:right w:val="nil"/>
            </w:tcBorders>
            <w:vAlign w:val="center"/>
          </w:tcPr>
          <w:p w14:paraId="2AB402B3" w14:textId="77777777" w:rsidR="00983C78" w:rsidRDefault="00000000">
            <w:pPr>
              <w:keepNext/>
              <w:keepLines/>
              <w:spacing w:line="240" w:lineRule="auto"/>
              <w:ind w:firstLine="0"/>
              <w:jc w:val="center"/>
            </w:pPr>
            <w:r>
              <w:rPr>
                <w:sz w:val="20"/>
              </w:rPr>
              <w:t>0.0267 [0.0040, 0.0667]</w:t>
            </w:r>
          </w:p>
        </w:tc>
      </w:tr>
      <w:tr w:rsidR="00983C78" w14:paraId="62A13376" w14:textId="77777777">
        <w:trPr>
          <w:cantSplit/>
          <w:jc w:val="center"/>
        </w:trPr>
        <w:tc>
          <w:tcPr>
            <w:tcW w:w="1786" w:type="dxa"/>
            <w:tcBorders>
              <w:top w:val="nil"/>
              <w:left w:val="nil"/>
              <w:bottom w:val="nil"/>
              <w:right w:val="nil"/>
            </w:tcBorders>
            <w:vAlign w:val="center"/>
          </w:tcPr>
          <w:p w14:paraId="46E684B5" w14:textId="77777777" w:rsidR="00983C78" w:rsidRDefault="00000000">
            <w:pPr>
              <w:keepNext/>
              <w:keepLines/>
              <w:spacing w:line="240" w:lineRule="auto"/>
              <w:ind w:firstLine="0"/>
              <w:jc w:val="left"/>
            </w:pPr>
            <w:r>
              <w:rPr>
                <w:sz w:val="20"/>
              </w:rPr>
              <w:t>Sequential</w:t>
            </w:r>
          </w:p>
        </w:tc>
        <w:tc>
          <w:tcPr>
            <w:tcW w:w="1928" w:type="dxa"/>
            <w:tcBorders>
              <w:top w:val="nil"/>
              <w:left w:val="nil"/>
              <w:bottom w:val="nil"/>
              <w:right w:val="nil"/>
            </w:tcBorders>
            <w:vAlign w:val="center"/>
          </w:tcPr>
          <w:p w14:paraId="147DF982" w14:textId="77777777" w:rsidR="00983C78" w:rsidRDefault="00000000">
            <w:pPr>
              <w:keepNext/>
              <w:keepLines/>
              <w:spacing w:line="240" w:lineRule="auto"/>
              <w:ind w:firstLine="0"/>
              <w:jc w:val="center"/>
            </w:pPr>
            <w:r>
              <w:rPr>
                <w:sz w:val="20"/>
              </w:rPr>
              <w:t>0.0637 [0.0277, 0.1074]</w:t>
            </w:r>
          </w:p>
        </w:tc>
        <w:tc>
          <w:tcPr>
            <w:tcW w:w="1843" w:type="dxa"/>
            <w:tcBorders>
              <w:top w:val="nil"/>
              <w:left w:val="nil"/>
              <w:bottom w:val="nil"/>
              <w:right w:val="nil"/>
            </w:tcBorders>
            <w:vAlign w:val="center"/>
          </w:tcPr>
          <w:p w14:paraId="3FD9BD54" w14:textId="77777777" w:rsidR="00983C78" w:rsidRDefault="00000000">
            <w:pPr>
              <w:keepNext/>
              <w:keepLines/>
              <w:spacing w:line="240" w:lineRule="auto"/>
              <w:ind w:firstLine="0"/>
              <w:jc w:val="center"/>
            </w:pPr>
            <w:r>
              <w:rPr>
                <w:sz w:val="20"/>
              </w:rPr>
              <w:t>0.1360 [0.0600, 0.2300]</w:t>
            </w:r>
          </w:p>
        </w:tc>
        <w:tc>
          <w:tcPr>
            <w:tcW w:w="1757" w:type="dxa"/>
            <w:tcBorders>
              <w:top w:val="nil"/>
              <w:left w:val="nil"/>
              <w:bottom w:val="nil"/>
              <w:right w:val="nil"/>
            </w:tcBorders>
            <w:vAlign w:val="center"/>
          </w:tcPr>
          <w:p w14:paraId="1F4115D6" w14:textId="77777777" w:rsidR="00983C78" w:rsidRDefault="00000000">
            <w:pPr>
              <w:keepNext/>
              <w:keepLines/>
              <w:spacing w:line="240" w:lineRule="auto"/>
              <w:ind w:firstLine="0"/>
              <w:jc w:val="center"/>
            </w:pPr>
            <w:r>
              <w:rPr>
                <w:sz w:val="20"/>
              </w:rPr>
              <w:t>0.1400 [0.0620, 0.2360]</w:t>
            </w:r>
          </w:p>
        </w:tc>
        <w:tc>
          <w:tcPr>
            <w:tcW w:w="1757" w:type="dxa"/>
            <w:tcBorders>
              <w:top w:val="nil"/>
              <w:left w:val="nil"/>
              <w:bottom w:val="nil"/>
              <w:right w:val="nil"/>
            </w:tcBorders>
            <w:vAlign w:val="center"/>
          </w:tcPr>
          <w:p w14:paraId="1EEF6FD0" w14:textId="77777777" w:rsidR="00983C78" w:rsidRDefault="00000000">
            <w:pPr>
              <w:keepNext/>
              <w:keepLines/>
              <w:spacing w:line="240" w:lineRule="auto"/>
              <w:ind w:firstLine="0"/>
              <w:jc w:val="center"/>
            </w:pPr>
            <w:r>
              <w:rPr>
                <w:sz w:val="20"/>
              </w:rPr>
              <w:t>0.0620 [0.0173, 0.1220]</w:t>
            </w:r>
          </w:p>
        </w:tc>
      </w:tr>
      <w:tr w:rsidR="00983C78" w14:paraId="4E3BB80C" w14:textId="77777777">
        <w:trPr>
          <w:cantSplit/>
          <w:jc w:val="center"/>
        </w:trPr>
        <w:tc>
          <w:tcPr>
            <w:tcW w:w="1786" w:type="dxa"/>
            <w:tcBorders>
              <w:top w:val="nil"/>
              <w:left w:val="nil"/>
              <w:bottom w:val="nil"/>
              <w:right w:val="nil"/>
            </w:tcBorders>
            <w:vAlign w:val="center"/>
          </w:tcPr>
          <w:p w14:paraId="5D4018D9" w14:textId="77777777" w:rsidR="00983C78" w:rsidRDefault="00000000">
            <w:pPr>
              <w:keepLines/>
              <w:spacing w:line="240" w:lineRule="auto"/>
              <w:ind w:firstLine="0"/>
              <w:jc w:val="left"/>
            </w:pPr>
            <w:r>
              <w:rPr>
                <w:sz w:val="20"/>
              </w:rPr>
              <w:t>Sequential − Batch</w:t>
            </w:r>
          </w:p>
        </w:tc>
        <w:tc>
          <w:tcPr>
            <w:tcW w:w="1928" w:type="dxa"/>
            <w:tcBorders>
              <w:top w:val="nil"/>
              <w:left w:val="nil"/>
              <w:bottom w:val="nil"/>
              <w:right w:val="nil"/>
            </w:tcBorders>
            <w:vAlign w:val="center"/>
          </w:tcPr>
          <w:p w14:paraId="7F0614A5" w14:textId="77777777" w:rsidR="00983C78" w:rsidRDefault="00000000">
            <w:pPr>
              <w:keepLines/>
              <w:spacing w:line="240" w:lineRule="auto"/>
              <w:ind w:firstLine="0"/>
              <w:jc w:val="center"/>
            </w:pPr>
            <w:r>
              <w:rPr>
                <w:sz w:val="20"/>
              </w:rPr>
              <w:t>0.0319 [0.0002, 0.0718]</w:t>
            </w:r>
          </w:p>
        </w:tc>
        <w:tc>
          <w:tcPr>
            <w:tcW w:w="1843" w:type="dxa"/>
            <w:tcBorders>
              <w:top w:val="nil"/>
              <w:left w:val="nil"/>
              <w:bottom w:val="nil"/>
              <w:right w:val="nil"/>
            </w:tcBorders>
            <w:vAlign w:val="center"/>
          </w:tcPr>
          <w:p w14:paraId="2752F9A6" w14:textId="77777777" w:rsidR="00983C78" w:rsidRDefault="00000000">
            <w:pPr>
              <w:keepLines/>
              <w:spacing w:line="240" w:lineRule="auto"/>
              <w:ind w:firstLine="0"/>
              <w:jc w:val="center"/>
            </w:pPr>
            <w:r>
              <w:rPr>
                <w:sz w:val="20"/>
              </w:rPr>
              <w:t>0.0660 [-0.0020, 0.1500]</w:t>
            </w:r>
          </w:p>
        </w:tc>
        <w:tc>
          <w:tcPr>
            <w:tcW w:w="1757" w:type="dxa"/>
            <w:tcBorders>
              <w:top w:val="nil"/>
              <w:left w:val="nil"/>
              <w:bottom w:val="nil"/>
              <w:right w:val="nil"/>
            </w:tcBorders>
            <w:vAlign w:val="center"/>
          </w:tcPr>
          <w:p w14:paraId="35402AF3" w14:textId="77777777" w:rsidR="00983C78" w:rsidRDefault="00000000">
            <w:pPr>
              <w:keepLines/>
              <w:spacing w:line="240" w:lineRule="auto"/>
              <w:ind w:firstLine="0"/>
              <w:jc w:val="center"/>
            </w:pPr>
            <w:r>
              <w:rPr>
                <w:sz w:val="20"/>
              </w:rPr>
              <w:t>0.0680 [-0.0020, 0.1560]</w:t>
            </w:r>
          </w:p>
        </w:tc>
        <w:tc>
          <w:tcPr>
            <w:tcW w:w="1757" w:type="dxa"/>
            <w:tcBorders>
              <w:top w:val="nil"/>
              <w:left w:val="nil"/>
              <w:bottom w:val="nil"/>
              <w:right w:val="nil"/>
            </w:tcBorders>
            <w:vAlign w:val="center"/>
          </w:tcPr>
          <w:p w14:paraId="79BC775A" w14:textId="77777777" w:rsidR="00983C78" w:rsidRDefault="00000000">
            <w:pPr>
              <w:keepLines/>
              <w:spacing w:line="240" w:lineRule="auto"/>
              <w:ind w:firstLine="0"/>
              <w:jc w:val="center"/>
            </w:pPr>
            <w:r>
              <w:rPr>
                <w:sz w:val="20"/>
              </w:rPr>
              <w:t>0.0353 [-0.0020, 0.0853]</w:t>
            </w:r>
          </w:p>
        </w:tc>
      </w:tr>
    </w:tbl>
    <w:p w14:paraId="6410840A" w14:textId="77777777" w:rsidR="00983C78" w:rsidRDefault="00983C78">
      <w:pPr>
        <w:pStyle w:val="NormalFirstParagraph"/>
      </w:pPr>
    </w:p>
    <w:p w14:paraId="68A6721C" w14:textId="77777777" w:rsidR="00983C78" w:rsidRDefault="00000000">
      <w:r>
        <w:t xml:space="preserve">The paired intervals for score-change rate, mean score range, and tie-change rate all include zero. No strict ranking flips occur under either adaptive strategy. Thus, the stored results show absolute-score and </w:t>
      </w:r>
      <w:r>
        <w:lastRenderedPageBreak/>
        <w:t>tie changes without an observed reversal of the two-response ranking within any held-out prompt/order comparison.</w:t>
      </w:r>
    </w:p>
    <w:p w14:paraId="54748D63" w14:textId="77777777" w:rsidR="00983C78" w:rsidRDefault="00000000">
      <w:pPr>
        <w:pStyle w:val="NormalFirstParagraph"/>
        <w:keepNext/>
        <w:jc w:val="center"/>
      </w:pPr>
      <w:r>
        <w:rPr>
          <w:noProof/>
        </w:rPr>
        <w:drawing>
          <wp:inline distT="0" distB="0" distL="0" distR="0" wp14:anchorId="37AD8B17" wp14:editId="17BDCF18">
            <wp:extent cx="5394960" cy="2242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stability.png"/>
                    <pic:cNvPicPr/>
                  </pic:nvPicPr>
                  <pic:blipFill>
                    <a:blip r:embed="rId11"/>
                    <a:stretch>
                      <a:fillRect/>
                    </a:stretch>
                  </pic:blipFill>
                  <pic:spPr>
                    <a:xfrm>
                      <a:off x="0" y="0"/>
                      <a:ext cx="5394960" cy="2242483"/>
                    </a:xfrm>
                    <a:prstGeom prst="rect">
                      <a:avLst/>
                    </a:prstGeom>
                  </pic:spPr>
                </pic:pic>
              </a:graphicData>
            </a:graphic>
          </wp:inline>
        </w:drawing>
      </w:r>
    </w:p>
    <w:p w14:paraId="1660FA6A" w14:textId="3069D38A" w:rsidR="00983C78" w:rsidRDefault="00000000">
      <w:pPr>
        <w:pStyle w:val="Legend"/>
      </w:pPr>
      <w:r>
        <w:t xml:space="preserve">Figure 2. </w:t>
      </w:r>
      <w:r w:rsidR="00B957ED" w:rsidRPr="00B957ED">
        <w:t>Agreement and stability across rubric construction strategies. (a) QWK versus primary instability. (b) Score-change rates under different calibration orders.</w:t>
      </w:r>
    </w:p>
    <w:p w14:paraId="21737A1E" w14:textId="77777777" w:rsidR="00983C78" w:rsidRDefault="00000000">
      <w:pPr>
        <w:pStyle w:val="Titlu2"/>
      </w:pPr>
      <w:r>
        <w:t>5.3. End-to-End Reproducibility</w:t>
      </w:r>
    </w:p>
    <w:p w14:paraId="6620A0EB" w14:textId="77777777" w:rsidR="00983C78" w:rsidRDefault="00000000">
      <w:pPr>
        <w:pStyle w:val="NormalFirstParagraph"/>
      </w:pPr>
      <w:r>
        <w:t>The complete-pipeline study contains three independently constructed rubric-and-score replicates for every method and block under the deterministic random ordering. Table 4 separates exact rubric representation agreement, structurally identified supplementary-criteria agreement, downstream score-vector agreement, and per-score differences. Pairwise agreement averages the three replicate-pair indicators within each block and then averages across ten blocks.</w:t>
      </w:r>
    </w:p>
    <w:p w14:paraId="0CCA5747" w14:textId="77777777" w:rsidR="00983C78" w:rsidRDefault="00000000">
      <w:pPr>
        <w:pStyle w:val="Legend"/>
        <w:keepLines/>
      </w:pPr>
      <w:r>
        <w:t>Table 4. Repeatability of complete-pipeline and fixed-rubric controls.</w:t>
      </w:r>
    </w:p>
    <w:tbl>
      <w:tblPr>
        <w:tblW w:w="9072" w:type="dxa"/>
        <w:jc w:val="center"/>
        <w:tblBorders>
          <w:top w:val="nil"/>
          <w:left w:val="nil"/>
          <w:bottom w:val="nil"/>
          <w:right w:val="nil"/>
          <w:insideH w:val="nil"/>
          <w:insideV w:val="nil"/>
        </w:tblBorders>
        <w:tblLayout w:type="fixed"/>
        <w:tblCellMar>
          <w:top w:w="35" w:type="dxa"/>
          <w:left w:w="80" w:type="dxa"/>
          <w:bottom w:w="35" w:type="dxa"/>
          <w:right w:w="80" w:type="dxa"/>
        </w:tblCellMar>
        <w:tblLook w:val="04A0" w:firstRow="1" w:lastRow="0" w:firstColumn="1" w:lastColumn="0" w:noHBand="0" w:noVBand="1"/>
      </w:tblPr>
      <w:tblGrid>
        <w:gridCol w:w="1503"/>
        <w:gridCol w:w="1050"/>
        <w:gridCol w:w="1020"/>
        <w:gridCol w:w="1219"/>
        <w:gridCol w:w="1020"/>
        <w:gridCol w:w="1077"/>
        <w:gridCol w:w="1106"/>
        <w:gridCol w:w="1077"/>
      </w:tblGrid>
      <w:tr w:rsidR="00983C78" w14:paraId="2E0C2DA1" w14:textId="77777777">
        <w:trPr>
          <w:cantSplit/>
          <w:tblHeader/>
          <w:jc w:val="center"/>
        </w:trPr>
        <w:tc>
          <w:tcPr>
            <w:tcW w:w="1502" w:type="dxa"/>
            <w:tcBorders>
              <w:top w:val="nil"/>
              <w:left w:val="nil"/>
              <w:bottom w:val="nil"/>
              <w:right w:val="nil"/>
            </w:tcBorders>
            <w:vAlign w:val="center"/>
          </w:tcPr>
          <w:p w14:paraId="4982F497" w14:textId="77777777" w:rsidR="00983C78" w:rsidRDefault="00000000">
            <w:pPr>
              <w:keepNext/>
              <w:keepLines/>
              <w:spacing w:line="240" w:lineRule="auto"/>
              <w:ind w:firstLine="0"/>
              <w:jc w:val="center"/>
            </w:pPr>
            <w:r>
              <w:rPr>
                <w:b/>
                <w:sz w:val="20"/>
              </w:rPr>
              <w:t>Component</w:t>
            </w:r>
          </w:p>
        </w:tc>
        <w:tc>
          <w:tcPr>
            <w:tcW w:w="1049" w:type="dxa"/>
            <w:tcBorders>
              <w:top w:val="nil"/>
              <w:left w:val="nil"/>
              <w:bottom w:val="nil"/>
              <w:right w:val="nil"/>
            </w:tcBorders>
            <w:vAlign w:val="center"/>
          </w:tcPr>
          <w:p w14:paraId="3FEE2EBB" w14:textId="77777777" w:rsidR="00983C78" w:rsidRDefault="00000000">
            <w:pPr>
              <w:keepNext/>
              <w:keepLines/>
              <w:spacing w:line="240" w:lineRule="auto"/>
              <w:ind w:firstLine="0"/>
              <w:jc w:val="center"/>
            </w:pPr>
            <w:r>
              <w:rPr>
                <w:b/>
                <w:sz w:val="20"/>
              </w:rPr>
              <w:t>Method</w:t>
            </w:r>
          </w:p>
        </w:tc>
        <w:tc>
          <w:tcPr>
            <w:tcW w:w="1020" w:type="dxa"/>
            <w:tcBorders>
              <w:top w:val="nil"/>
              <w:left w:val="nil"/>
              <w:bottom w:val="nil"/>
              <w:right w:val="nil"/>
            </w:tcBorders>
            <w:vAlign w:val="center"/>
          </w:tcPr>
          <w:p w14:paraId="2F8388A9" w14:textId="77777777" w:rsidR="00983C78" w:rsidRDefault="00000000">
            <w:pPr>
              <w:keepNext/>
              <w:keepLines/>
              <w:spacing w:line="240" w:lineRule="auto"/>
              <w:ind w:firstLine="0"/>
              <w:jc w:val="center"/>
            </w:pPr>
            <w:r>
              <w:rPr>
                <w:b/>
                <w:sz w:val="20"/>
              </w:rPr>
              <w:t>Rubric pair</w:t>
            </w:r>
          </w:p>
        </w:tc>
        <w:tc>
          <w:tcPr>
            <w:tcW w:w="1219" w:type="dxa"/>
            <w:tcBorders>
              <w:top w:val="nil"/>
              <w:left w:val="nil"/>
              <w:bottom w:val="nil"/>
              <w:right w:val="nil"/>
            </w:tcBorders>
            <w:vAlign w:val="center"/>
          </w:tcPr>
          <w:p w14:paraId="641E953B" w14:textId="77777777" w:rsidR="00983C78" w:rsidRDefault="00000000">
            <w:pPr>
              <w:keepNext/>
              <w:keepLines/>
              <w:spacing w:line="240" w:lineRule="auto"/>
              <w:ind w:firstLine="0"/>
              <w:jc w:val="center"/>
            </w:pPr>
            <w:r>
              <w:rPr>
                <w:b/>
                <w:sz w:val="20"/>
              </w:rPr>
              <w:t>Supplement pair</w:t>
            </w:r>
          </w:p>
        </w:tc>
        <w:tc>
          <w:tcPr>
            <w:tcW w:w="1020" w:type="dxa"/>
            <w:tcBorders>
              <w:top w:val="nil"/>
              <w:left w:val="nil"/>
              <w:bottom w:val="nil"/>
              <w:right w:val="nil"/>
            </w:tcBorders>
            <w:vAlign w:val="center"/>
          </w:tcPr>
          <w:p w14:paraId="044FF079" w14:textId="77777777" w:rsidR="00983C78" w:rsidRDefault="00000000">
            <w:pPr>
              <w:keepNext/>
              <w:keepLines/>
              <w:spacing w:line="240" w:lineRule="auto"/>
              <w:ind w:firstLine="0"/>
              <w:jc w:val="center"/>
            </w:pPr>
            <w:r>
              <w:rPr>
                <w:b/>
                <w:sz w:val="20"/>
              </w:rPr>
              <w:t>Vector pair</w:t>
            </w:r>
          </w:p>
        </w:tc>
        <w:tc>
          <w:tcPr>
            <w:tcW w:w="1077" w:type="dxa"/>
            <w:tcBorders>
              <w:top w:val="nil"/>
              <w:left w:val="nil"/>
              <w:bottom w:val="nil"/>
              <w:right w:val="nil"/>
            </w:tcBorders>
            <w:vAlign w:val="center"/>
          </w:tcPr>
          <w:p w14:paraId="09C904FD" w14:textId="77777777" w:rsidR="00983C78" w:rsidRDefault="00000000">
            <w:pPr>
              <w:keepNext/>
              <w:keepLines/>
              <w:spacing w:line="240" w:lineRule="auto"/>
              <w:ind w:firstLine="0"/>
              <w:jc w:val="center"/>
            </w:pPr>
            <w:r>
              <w:rPr>
                <w:b/>
                <w:sz w:val="20"/>
              </w:rPr>
              <w:t>Change rate</w:t>
            </w:r>
          </w:p>
        </w:tc>
        <w:tc>
          <w:tcPr>
            <w:tcW w:w="1106" w:type="dxa"/>
            <w:tcBorders>
              <w:top w:val="nil"/>
              <w:left w:val="nil"/>
              <w:bottom w:val="nil"/>
              <w:right w:val="nil"/>
            </w:tcBorders>
            <w:vAlign w:val="center"/>
          </w:tcPr>
          <w:p w14:paraId="7FD105C5" w14:textId="77777777" w:rsidR="00983C78" w:rsidRDefault="00000000">
            <w:pPr>
              <w:keepNext/>
              <w:keepLines/>
              <w:spacing w:line="240" w:lineRule="auto"/>
              <w:ind w:firstLine="0"/>
              <w:jc w:val="center"/>
            </w:pPr>
            <w:r>
              <w:rPr>
                <w:b/>
                <w:sz w:val="20"/>
              </w:rPr>
              <w:t>Mean |Δ|</w:t>
            </w:r>
          </w:p>
        </w:tc>
        <w:tc>
          <w:tcPr>
            <w:tcW w:w="1077" w:type="dxa"/>
            <w:tcBorders>
              <w:top w:val="nil"/>
              <w:left w:val="nil"/>
              <w:bottom w:val="nil"/>
              <w:right w:val="nil"/>
            </w:tcBorders>
            <w:vAlign w:val="center"/>
          </w:tcPr>
          <w:p w14:paraId="10D748AF" w14:textId="77777777" w:rsidR="00983C78" w:rsidRDefault="00000000">
            <w:pPr>
              <w:keepNext/>
              <w:keepLines/>
              <w:spacing w:line="240" w:lineRule="auto"/>
              <w:ind w:firstLine="0"/>
              <w:jc w:val="center"/>
            </w:pPr>
            <w:r>
              <w:rPr>
                <w:b/>
                <w:sz w:val="20"/>
              </w:rPr>
              <w:t>Max |Δ|</w:t>
            </w:r>
          </w:p>
        </w:tc>
      </w:tr>
      <w:tr w:rsidR="00983C78" w14:paraId="650FB01A" w14:textId="77777777">
        <w:trPr>
          <w:cantSplit/>
          <w:jc w:val="center"/>
        </w:trPr>
        <w:tc>
          <w:tcPr>
            <w:tcW w:w="1502" w:type="dxa"/>
            <w:tcBorders>
              <w:top w:val="nil"/>
              <w:left w:val="nil"/>
              <w:bottom w:val="nil"/>
              <w:right w:val="nil"/>
            </w:tcBorders>
            <w:vAlign w:val="center"/>
          </w:tcPr>
          <w:p w14:paraId="243F3AFA" w14:textId="77777777" w:rsidR="00983C78" w:rsidRDefault="00000000">
            <w:pPr>
              <w:keepNext/>
              <w:keepLines/>
              <w:spacing w:line="240" w:lineRule="auto"/>
              <w:ind w:firstLine="0"/>
              <w:jc w:val="left"/>
            </w:pPr>
            <w:r>
              <w:rPr>
                <w:sz w:val="20"/>
              </w:rPr>
              <w:t>Complete pipeline</w:t>
            </w:r>
          </w:p>
        </w:tc>
        <w:tc>
          <w:tcPr>
            <w:tcW w:w="1049" w:type="dxa"/>
            <w:tcBorders>
              <w:top w:val="nil"/>
              <w:left w:val="nil"/>
              <w:bottom w:val="nil"/>
              <w:right w:val="nil"/>
            </w:tcBorders>
            <w:vAlign w:val="center"/>
          </w:tcPr>
          <w:p w14:paraId="28C65938" w14:textId="77777777" w:rsidR="00983C78" w:rsidRDefault="00000000">
            <w:pPr>
              <w:keepNext/>
              <w:keepLines/>
              <w:spacing w:line="240" w:lineRule="auto"/>
              <w:ind w:firstLine="0"/>
              <w:jc w:val="center"/>
            </w:pPr>
            <w:r>
              <w:rPr>
                <w:sz w:val="20"/>
              </w:rPr>
              <w:t>Batch</w:t>
            </w:r>
          </w:p>
        </w:tc>
        <w:tc>
          <w:tcPr>
            <w:tcW w:w="1020" w:type="dxa"/>
            <w:tcBorders>
              <w:top w:val="nil"/>
              <w:left w:val="nil"/>
              <w:bottom w:val="nil"/>
              <w:right w:val="nil"/>
            </w:tcBorders>
            <w:vAlign w:val="center"/>
          </w:tcPr>
          <w:p w14:paraId="5C598F5C" w14:textId="77777777" w:rsidR="00983C78" w:rsidRDefault="00000000">
            <w:pPr>
              <w:keepNext/>
              <w:keepLines/>
              <w:spacing w:line="240" w:lineRule="auto"/>
              <w:ind w:firstLine="0"/>
              <w:jc w:val="center"/>
            </w:pPr>
            <w:r>
              <w:rPr>
                <w:sz w:val="20"/>
              </w:rPr>
              <w:t>0.8333</w:t>
            </w:r>
          </w:p>
        </w:tc>
        <w:tc>
          <w:tcPr>
            <w:tcW w:w="1219" w:type="dxa"/>
            <w:tcBorders>
              <w:top w:val="nil"/>
              <w:left w:val="nil"/>
              <w:bottom w:val="nil"/>
              <w:right w:val="nil"/>
            </w:tcBorders>
            <w:vAlign w:val="center"/>
          </w:tcPr>
          <w:p w14:paraId="72DDAA57" w14:textId="77777777" w:rsidR="00983C78" w:rsidRDefault="00000000">
            <w:pPr>
              <w:keepNext/>
              <w:keepLines/>
              <w:spacing w:line="240" w:lineRule="auto"/>
              <w:ind w:firstLine="0"/>
              <w:jc w:val="center"/>
            </w:pPr>
            <w:r>
              <w:rPr>
                <w:sz w:val="20"/>
              </w:rPr>
              <w:t>0.8333</w:t>
            </w:r>
          </w:p>
        </w:tc>
        <w:tc>
          <w:tcPr>
            <w:tcW w:w="1020" w:type="dxa"/>
            <w:tcBorders>
              <w:top w:val="nil"/>
              <w:left w:val="nil"/>
              <w:bottom w:val="nil"/>
              <w:right w:val="nil"/>
            </w:tcBorders>
            <w:vAlign w:val="center"/>
          </w:tcPr>
          <w:p w14:paraId="3CDCB75A" w14:textId="77777777" w:rsidR="00983C78" w:rsidRDefault="00000000">
            <w:pPr>
              <w:keepNext/>
              <w:keepLines/>
              <w:spacing w:line="240" w:lineRule="auto"/>
              <w:ind w:firstLine="0"/>
              <w:jc w:val="center"/>
            </w:pPr>
            <w:r>
              <w:rPr>
                <w:sz w:val="20"/>
              </w:rPr>
              <w:t>0.5333</w:t>
            </w:r>
          </w:p>
        </w:tc>
        <w:tc>
          <w:tcPr>
            <w:tcW w:w="1077" w:type="dxa"/>
            <w:tcBorders>
              <w:top w:val="nil"/>
              <w:left w:val="nil"/>
              <w:bottom w:val="nil"/>
              <w:right w:val="nil"/>
            </w:tcBorders>
            <w:vAlign w:val="center"/>
          </w:tcPr>
          <w:p w14:paraId="7A72D953" w14:textId="77777777" w:rsidR="00983C78" w:rsidRDefault="00000000">
            <w:pPr>
              <w:keepNext/>
              <w:keepLines/>
              <w:spacing w:line="240" w:lineRule="auto"/>
              <w:ind w:firstLine="0"/>
              <w:jc w:val="center"/>
            </w:pPr>
            <w:r>
              <w:rPr>
                <w:sz w:val="20"/>
              </w:rPr>
              <w:t>0.0280</w:t>
            </w:r>
          </w:p>
        </w:tc>
        <w:tc>
          <w:tcPr>
            <w:tcW w:w="1106" w:type="dxa"/>
            <w:tcBorders>
              <w:top w:val="nil"/>
              <w:left w:val="nil"/>
              <w:bottom w:val="nil"/>
              <w:right w:val="nil"/>
            </w:tcBorders>
            <w:vAlign w:val="center"/>
          </w:tcPr>
          <w:p w14:paraId="230838FE" w14:textId="77777777" w:rsidR="00983C78" w:rsidRDefault="00000000">
            <w:pPr>
              <w:keepNext/>
              <w:keepLines/>
              <w:spacing w:line="240" w:lineRule="auto"/>
              <w:ind w:firstLine="0"/>
              <w:jc w:val="center"/>
            </w:pPr>
            <w:r>
              <w:rPr>
                <w:sz w:val="20"/>
              </w:rPr>
              <w:t>0.0187</w:t>
            </w:r>
          </w:p>
        </w:tc>
        <w:tc>
          <w:tcPr>
            <w:tcW w:w="1077" w:type="dxa"/>
            <w:tcBorders>
              <w:top w:val="nil"/>
              <w:left w:val="nil"/>
              <w:bottom w:val="nil"/>
              <w:right w:val="nil"/>
            </w:tcBorders>
            <w:vAlign w:val="center"/>
          </w:tcPr>
          <w:p w14:paraId="0D7F3B39" w14:textId="77777777" w:rsidR="00983C78" w:rsidRDefault="00000000">
            <w:pPr>
              <w:keepNext/>
              <w:keepLines/>
              <w:spacing w:line="240" w:lineRule="auto"/>
              <w:ind w:firstLine="0"/>
              <w:jc w:val="center"/>
            </w:pPr>
            <w:r>
              <w:rPr>
                <w:sz w:val="20"/>
              </w:rPr>
              <w:t>1</w:t>
            </w:r>
          </w:p>
        </w:tc>
      </w:tr>
      <w:tr w:rsidR="00983C78" w14:paraId="51A15A19" w14:textId="77777777">
        <w:trPr>
          <w:cantSplit/>
          <w:jc w:val="center"/>
        </w:trPr>
        <w:tc>
          <w:tcPr>
            <w:tcW w:w="1502" w:type="dxa"/>
            <w:tcBorders>
              <w:top w:val="nil"/>
              <w:left w:val="nil"/>
              <w:bottom w:val="nil"/>
              <w:right w:val="nil"/>
            </w:tcBorders>
            <w:vAlign w:val="center"/>
          </w:tcPr>
          <w:p w14:paraId="25E3D0B4" w14:textId="77777777" w:rsidR="00983C78" w:rsidRDefault="00000000">
            <w:pPr>
              <w:keepNext/>
              <w:keepLines/>
              <w:spacing w:line="240" w:lineRule="auto"/>
              <w:ind w:firstLine="0"/>
              <w:jc w:val="left"/>
            </w:pPr>
            <w:r>
              <w:rPr>
                <w:sz w:val="20"/>
              </w:rPr>
              <w:t>Complete pipeline</w:t>
            </w:r>
          </w:p>
        </w:tc>
        <w:tc>
          <w:tcPr>
            <w:tcW w:w="1049" w:type="dxa"/>
            <w:tcBorders>
              <w:top w:val="nil"/>
              <w:left w:val="nil"/>
              <w:bottom w:val="nil"/>
              <w:right w:val="nil"/>
            </w:tcBorders>
            <w:vAlign w:val="center"/>
          </w:tcPr>
          <w:p w14:paraId="2FCA5B83" w14:textId="77777777" w:rsidR="00983C78" w:rsidRDefault="00000000">
            <w:pPr>
              <w:keepNext/>
              <w:keepLines/>
              <w:spacing w:line="240" w:lineRule="auto"/>
              <w:ind w:firstLine="0"/>
              <w:jc w:val="center"/>
            </w:pPr>
            <w:r>
              <w:rPr>
                <w:sz w:val="20"/>
              </w:rPr>
              <w:t>Sequential</w:t>
            </w:r>
          </w:p>
        </w:tc>
        <w:tc>
          <w:tcPr>
            <w:tcW w:w="1020" w:type="dxa"/>
            <w:tcBorders>
              <w:top w:val="nil"/>
              <w:left w:val="nil"/>
              <w:bottom w:val="nil"/>
              <w:right w:val="nil"/>
            </w:tcBorders>
            <w:vAlign w:val="center"/>
          </w:tcPr>
          <w:p w14:paraId="01258D6E" w14:textId="77777777" w:rsidR="00983C78" w:rsidRDefault="00000000">
            <w:pPr>
              <w:keepNext/>
              <w:keepLines/>
              <w:spacing w:line="240" w:lineRule="auto"/>
              <w:ind w:firstLine="0"/>
              <w:jc w:val="center"/>
            </w:pPr>
            <w:r>
              <w:rPr>
                <w:sz w:val="20"/>
              </w:rPr>
              <w:t>0.8000</w:t>
            </w:r>
          </w:p>
        </w:tc>
        <w:tc>
          <w:tcPr>
            <w:tcW w:w="1219" w:type="dxa"/>
            <w:tcBorders>
              <w:top w:val="nil"/>
              <w:left w:val="nil"/>
              <w:bottom w:val="nil"/>
              <w:right w:val="nil"/>
            </w:tcBorders>
            <w:vAlign w:val="center"/>
          </w:tcPr>
          <w:p w14:paraId="18AF6A76" w14:textId="77777777" w:rsidR="00983C78" w:rsidRDefault="00000000">
            <w:pPr>
              <w:keepNext/>
              <w:keepLines/>
              <w:spacing w:line="240" w:lineRule="auto"/>
              <w:ind w:firstLine="0"/>
              <w:jc w:val="center"/>
            </w:pPr>
            <w:r>
              <w:rPr>
                <w:sz w:val="20"/>
              </w:rPr>
              <w:t>0.8000</w:t>
            </w:r>
          </w:p>
        </w:tc>
        <w:tc>
          <w:tcPr>
            <w:tcW w:w="1020" w:type="dxa"/>
            <w:tcBorders>
              <w:top w:val="nil"/>
              <w:left w:val="nil"/>
              <w:bottom w:val="nil"/>
              <w:right w:val="nil"/>
            </w:tcBorders>
            <w:vAlign w:val="center"/>
          </w:tcPr>
          <w:p w14:paraId="1C93FEDF" w14:textId="77777777" w:rsidR="00983C78" w:rsidRDefault="00000000">
            <w:pPr>
              <w:keepNext/>
              <w:keepLines/>
              <w:spacing w:line="240" w:lineRule="auto"/>
              <w:ind w:firstLine="0"/>
              <w:jc w:val="center"/>
            </w:pPr>
            <w:r>
              <w:rPr>
                <w:sz w:val="20"/>
              </w:rPr>
              <w:t>0.5333</w:t>
            </w:r>
          </w:p>
        </w:tc>
        <w:tc>
          <w:tcPr>
            <w:tcW w:w="1077" w:type="dxa"/>
            <w:tcBorders>
              <w:top w:val="nil"/>
              <w:left w:val="nil"/>
              <w:bottom w:val="nil"/>
              <w:right w:val="nil"/>
            </w:tcBorders>
            <w:vAlign w:val="center"/>
          </w:tcPr>
          <w:p w14:paraId="74A5735C" w14:textId="77777777" w:rsidR="00983C78" w:rsidRDefault="00000000">
            <w:pPr>
              <w:keepNext/>
              <w:keepLines/>
              <w:spacing w:line="240" w:lineRule="auto"/>
              <w:ind w:firstLine="0"/>
              <w:jc w:val="center"/>
            </w:pPr>
            <w:r>
              <w:rPr>
                <w:sz w:val="20"/>
              </w:rPr>
              <w:t>0.0500</w:t>
            </w:r>
          </w:p>
        </w:tc>
        <w:tc>
          <w:tcPr>
            <w:tcW w:w="1106" w:type="dxa"/>
            <w:tcBorders>
              <w:top w:val="nil"/>
              <w:left w:val="nil"/>
              <w:bottom w:val="nil"/>
              <w:right w:val="nil"/>
            </w:tcBorders>
            <w:vAlign w:val="center"/>
          </w:tcPr>
          <w:p w14:paraId="0A47776A" w14:textId="77777777" w:rsidR="00983C78" w:rsidRDefault="00000000">
            <w:pPr>
              <w:keepNext/>
              <w:keepLines/>
              <w:spacing w:line="240" w:lineRule="auto"/>
              <w:ind w:firstLine="0"/>
              <w:jc w:val="center"/>
            </w:pPr>
            <w:r>
              <w:rPr>
                <w:sz w:val="20"/>
              </w:rPr>
              <w:t>0.0333</w:t>
            </w:r>
          </w:p>
        </w:tc>
        <w:tc>
          <w:tcPr>
            <w:tcW w:w="1077" w:type="dxa"/>
            <w:tcBorders>
              <w:top w:val="nil"/>
              <w:left w:val="nil"/>
              <w:bottom w:val="nil"/>
              <w:right w:val="nil"/>
            </w:tcBorders>
            <w:vAlign w:val="center"/>
          </w:tcPr>
          <w:p w14:paraId="72BCD76D" w14:textId="77777777" w:rsidR="00983C78" w:rsidRDefault="00000000">
            <w:pPr>
              <w:keepNext/>
              <w:keepLines/>
              <w:spacing w:line="240" w:lineRule="auto"/>
              <w:ind w:firstLine="0"/>
              <w:jc w:val="center"/>
            </w:pPr>
            <w:r>
              <w:rPr>
                <w:sz w:val="20"/>
              </w:rPr>
              <w:t>1</w:t>
            </w:r>
          </w:p>
        </w:tc>
      </w:tr>
      <w:tr w:rsidR="00983C78" w14:paraId="0B541CBA" w14:textId="77777777">
        <w:trPr>
          <w:cantSplit/>
          <w:jc w:val="center"/>
        </w:trPr>
        <w:tc>
          <w:tcPr>
            <w:tcW w:w="1502" w:type="dxa"/>
            <w:tcBorders>
              <w:top w:val="nil"/>
              <w:left w:val="nil"/>
              <w:bottom w:val="nil"/>
              <w:right w:val="nil"/>
            </w:tcBorders>
            <w:vAlign w:val="center"/>
          </w:tcPr>
          <w:p w14:paraId="360A4155" w14:textId="77777777" w:rsidR="00983C78" w:rsidRDefault="00000000">
            <w:pPr>
              <w:keepLines/>
              <w:spacing w:line="240" w:lineRule="auto"/>
              <w:ind w:firstLine="0"/>
              <w:jc w:val="left"/>
            </w:pPr>
            <w:r>
              <w:rPr>
                <w:sz w:val="20"/>
              </w:rPr>
              <w:t>Fixed rubric</w:t>
            </w:r>
          </w:p>
        </w:tc>
        <w:tc>
          <w:tcPr>
            <w:tcW w:w="1049" w:type="dxa"/>
            <w:tcBorders>
              <w:top w:val="nil"/>
              <w:left w:val="nil"/>
              <w:bottom w:val="nil"/>
              <w:right w:val="nil"/>
            </w:tcBorders>
            <w:vAlign w:val="center"/>
          </w:tcPr>
          <w:p w14:paraId="427921F6" w14:textId="77777777" w:rsidR="00983C78" w:rsidRDefault="00000000">
            <w:pPr>
              <w:keepLines/>
              <w:spacing w:line="240" w:lineRule="auto"/>
              <w:ind w:firstLine="0"/>
              <w:jc w:val="center"/>
            </w:pPr>
            <w:r>
              <w:rPr>
                <w:sz w:val="20"/>
              </w:rPr>
              <w:t>Judge only</w:t>
            </w:r>
          </w:p>
        </w:tc>
        <w:tc>
          <w:tcPr>
            <w:tcW w:w="1020" w:type="dxa"/>
            <w:tcBorders>
              <w:top w:val="nil"/>
              <w:left w:val="nil"/>
              <w:bottom w:val="nil"/>
              <w:right w:val="nil"/>
            </w:tcBorders>
            <w:vAlign w:val="center"/>
          </w:tcPr>
          <w:p w14:paraId="3C18AA2B" w14:textId="77777777" w:rsidR="00983C78" w:rsidRDefault="00000000">
            <w:pPr>
              <w:keepLines/>
              <w:spacing w:line="240" w:lineRule="auto"/>
              <w:ind w:firstLine="0"/>
              <w:jc w:val="center"/>
            </w:pPr>
            <w:r>
              <w:rPr>
                <w:sz w:val="20"/>
              </w:rPr>
              <w:t>1.0000</w:t>
            </w:r>
          </w:p>
        </w:tc>
        <w:tc>
          <w:tcPr>
            <w:tcW w:w="1219" w:type="dxa"/>
            <w:tcBorders>
              <w:top w:val="nil"/>
              <w:left w:val="nil"/>
              <w:bottom w:val="nil"/>
              <w:right w:val="nil"/>
            </w:tcBorders>
            <w:vAlign w:val="center"/>
          </w:tcPr>
          <w:p w14:paraId="1944F842" w14:textId="77777777" w:rsidR="00983C78" w:rsidRDefault="00000000">
            <w:pPr>
              <w:keepLines/>
              <w:spacing w:line="240" w:lineRule="auto"/>
              <w:ind w:firstLine="0"/>
              <w:jc w:val="center"/>
            </w:pPr>
            <w:r>
              <w:rPr>
                <w:sz w:val="20"/>
              </w:rPr>
              <w:t>—</w:t>
            </w:r>
          </w:p>
        </w:tc>
        <w:tc>
          <w:tcPr>
            <w:tcW w:w="1020" w:type="dxa"/>
            <w:tcBorders>
              <w:top w:val="nil"/>
              <w:left w:val="nil"/>
              <w:bottom w:val="nil"/>
              <w:right w:val="nil"/>
            </w:tcBorders>
            <w:vAlign w:val="center"/>
          </w:tcPr>
          <w:p w14:paraId="05F4BE24" w14:textId="77777777" w:rsidR="00983C78" w:rsidRDefault="00000000">
            <w:pPr>
              <w:keepLines/>
              <w:spacing w:line="240" w:lineRule="auto"/>
              <w:ind w:firstLine="0"/>
              <w:jc w:val="center"/>
            </w:pPr>
            <w:r>
              <w:rPr>
                <w:sz w:val="20"/>
              </w:rPr>
              <w:t>1.0000</w:t>
            </w:r>
          </w:p>
        </w:tc>
        <w:tc>
          <w:tcPr>
            <w:tcW w:w="1077" w:type="dxa"/>
            <w:tcBorders>
              <w:top w:val="nil"/>
              <w:left w:val="nil"/>
              <w:bottom w:val="nil"/>
              <w:right w:val="nil"/>
            </w:tcBorders>
            <w:vAlign w:val="center"/>
          </w:tcPr>
          <w:p w14:paraId="192F2D78" w14:textId="77777777" w:rsidR="00983C78" w:rsidRDefault="00000000">
            <w:pPr>
              <w:keepLines/>
              <w:spacing w:line="240" w:lineRule="auto"/>
              <w:ind w:firstLine="0"/>
              <w:jc w:val="center"/>
            </w:pPr>
            <w:r>
              <w:rPr>
                <w:sz w:val="20"/>
              </w:rPr>
              <w:t>0.0000</w:t>
            </w:r>
          </w:p>
        </w:tc>
        <w:tc>
          <w:tcPr>
            <w:tcW w:w="1106" w:type="dxa"/>
            <w:tcBorders>
              <w:top w:val="nil"/>
              <w:left w:val="nil"/>
              <w:bottom w:val="nil"/>
              <w:right w:val="nil"/>
            </w:tcBorders>
            <w:vAlign w:val="center"/>
          </w:tcPr>
          <w:p w14:paraId="41F00586" w14:textId="77777777" w:rsidR="00983C78" w:rsidRDefault="00000000">
            <w:pPr>
              <w:keepLines/>
              <w:spacing w:line="240" w:lineRule="auto"/>
              <w:ind w:firstLine="0"/>
              <w:jc w:val="center"/>
            </w:pPr>
            <w:r>
              <w:rPr>
                <w:sz w:val="20"/>
              </w:rPr>
              <w:t>0.0000</w:t>
            </w:r>
          </w:p>
        </w:tc>
        <w:tc>
          <w:tcPr>
            <w:tcW w:w="1077" w:type="dxa"/>
            <w:tcBorders>
              <w:top w:val="nil"/>
              <w:left w:val="nil"/>
              <w:bottom w:val="nil"/>
              <w:right w:val="nil"/>
            </w:tcBorders>
            <w:vAlign w:val="center"/>
          </w:tcPr>
          <w:p w14:paraId="3010B09C" w14:textId="77777777" w:rsidR="00983C78" w:rsidRDefault="00000000">
            <w:pPr>
              <w:keepLines/>
              <w:spacing w:line="240" w:lineRule="auto"/>
              <w:ind w:firstLine="0"/>
              <w:jc w:val="center"/>
            </w:pPr>
            <w:r>
              <w:rPr>
                <w:sz w:val="20"/>
              </w:rPr>
              <w:t>0</w:t>
            </w:r>
          </w:p>
        </w:tc>
      </w:tr>
    </w:tbl>
    <w:p w14:paraId="34DECD0F" w14:textId="77777777" w:rsidR="00983C78" w:rsidRDefault="00983C78">
      <w:pPr>
        <w:pStyle w:val="NormalFirstParagraph"/>
      </w:pPr>
    </w:p>
    <w:p w14:paraId="626D88D8" w14:textId="77777777" w:rsidR="00983C78" w:rsidRDefault="00000000">
      <w:r>
        <w:t>For Batch, exact rubric pairwise agreement is 0.8333 and exact all-three-rubric agreement holds in 0.8 of blocks. For Sequential, these values are 0.8000 and 0.7. Exact score-vector pairwise agreement is 0.5333 for both methods, and exact all-three-vector agreement holds in 0.4 of blocks for both. The maximum observed repeated score difference is one point.</w:t>
      </w:r>
    </w:p>
    <w:p w14:paraId="1F27C2DA" w14:textId="77777777" w:rsidR="00983C78" w:rsidRDefault="00000000">
      <w:r>
        <w:t>The separate fixed-rubric control gives exact rubric and score-vector agreement of 1.0000 and zero score changes. This control isolates judge inference under one frozen rubric. Complete-pipeline differences cannot be attributed exclusively to rubric differences because the pipeline includes both rubric reconstruction and fresh judge calls, and some differing score vectors occur even when canonical rubric representations agree.</w:t>
      </w:r>
    </w:p>
    <w:p w14:paraId="536AECC0" w14:textId="77777777" w:rsidR="00983C78" w:rsidRDefault="00000000">
      <w:pPr>
        <w:pStyle w:val="Titlu2"/>
      </w:pPr>
      <w:r>
        <w:t>5.4. Illustrative Rubric Differences</w:t>
      </w:r>
    </w:p>
    <w:p w14:paraId="48096D7F" w14:textId="77777777" w:rsidR="00983C78" w:rsidRDefault="00000000">
      <w:pPr>
        <w:pStyle w:val="NormalFirstParagraph"/>
      </w:pPr>
      <w:r>
        <w:t>A stored case from Sequential block 0 uses the same ten calibration example identifiers under ascending and descending orders but produces different final rubric hashes. The ascending rubric adds Comprehensiveness and Usefulness of examples; the descending rubric adds Adherence to response limits and Completeness of guidance. These are verbatim criterion names from the stored rubric representations.</w:t>
      </w:r>
    </w:p>
    <w:p w14:paraId="2CBA829F" w14:textId="475A2A24" w:rsidR="00983C78" w:rsidRDefault="00B957ED">
      <w:r w:rsidRPr="00B957ED">
        <w:lastRenderedPageBreak/>
        <w:t>For the selected held-out response</w:t>
      </w:r>
      <w:r w:rsidR="00000000">
        <w:t>, the ascending Sequential rubric assigns 0 and the descending rubric assigns 2. Across all four orders, the Sequential scores are 0, 2, 0, and 2, while Batch assigns 1 in every order. Table 5 records the observable scores without adding an explanation of why the criteria or scores differ.</w:t>
      </w:r>
    </w:p>
    <w:p w14:paraId="0A31CD4E" w14:textId="12392E9B" w:rsidR="00983C78" w:rsidRDefault="00000000">
      <w:pPr>
        <w:pStyle w:val="Legend"/>
        <w:keepLines/>
      </w:pPr>
      <w:r>
        <w:t xml:space="preserve">Table 5. </w:t>
      </w:r>
      <w:r w:rsidR="000F1038" w:rsidRPr="000F1038">
        <w:t>Order dependent scores assigned to a selected held out response from calibration block 0.</w:t>
      </w:r>
    </w:p>
    <w:tbl>
      <w:tblPr>
        <w:tblW w:w="9072" w:type="dxa"/>
        <w:jc w:val="center"/>
        <w:tblBorders>
          <w:top w:val="nil"/>
          <w:left w:val="nil"/>
          <w:bottom w:val="nil"/>
          <w:right w:val="nil"/>
          <w:insideH w:val="nil"/>
          <w:insideV w:val="nil"/>
        </w:tblBorders>
        <w:tblLayout w:type="fixed"/>
        <w:tblCellMar>
          <w:top w:w="35" w:type="dxa"/>
          <w:left w:w="80" w:type="dxa"/>
          <w:bottom w:w="35" w:type="dxa"/>
          <w:right w:w="80" w:type="dxa"/>
        </w:tblCellMar>
        <w:tblLook w:val="04A0" w:firstRow="1" w:lastRow="0" w:firstColumn="1" w:lastColumn="0" w:noHBand="0" w:noVBand="1"/>
      </w:tblPr>
      <w:tblGrid>
        <w:gridCol w:w="1588"/>
        <w:gridCol w:w="1871"/>
        <w:gridCol w:w="1871"/>
        <w:gridCol w:w="1871"/>
        <w:gridCol w:w="1871"/>
      </w:tblGrid>
      <w:tr w:rsidR="00983C78" w14:paraId="006E5013" w14:textId="77777777">
        <w:trPr>
          <w:cantSplit/>
          <w:tblHeader/>
          <w:jc w:val="center"/>
        </w:trPr>
        <w:tc>
          <w:tcPr>
            <w:tcW w:w="1587" w:type="dxa"/>
            <w:tcBorders>
              <w:top w:val="nil"/>
              <w:left w:val="nil"/>
              <w:bottom w:val="nil"/>
              <w:right w:val="nil"/>
            </w:tcBorders>
            <w:vAlign w:val="center"/>
          </w:tcPr>
          <w:p w14:paraId="339DDE03" w14:textId="77777777" w:rsidR="00983C78" w:rsidRDefault="00000000">
            <w:pPr>
              <w:keepNext/>
              <w:keepLines/>
              <w:spacing w:line="240" w:lineRule="auto"/>
              <w:ind w:firstLine="0"/>
              <w:jc w:val="center"/>
            </w:pPr>
            <w:r>
              <w:rPr>
                <w:b/>
                <w:sz w:val="20"/>
              </w:rPr>
              <w:t>Method</w:t>
            </w:r>
          </w:p>
        </w:tc>
        <w:tc>
          <w:tcPr>
            <w:tcW w:w="1871" w:type="dxa"/>
            <w:tcBorders>
              <w:top w:val="nil"/>
              <w:left w:val="nil"/>
              <w:bottom w:val="nil"/>
              <w:right w:val="nil"/>
            </w:tcBorders>
            <w:vAlign w:val="center"/>
          </w:tcPr>
          <w:p w14:paraId="4A5AE72A" w14:textId="77777777" w:rsidR="00983C78" w:rsidRDefault="00000000">
            <w:pPr>
              <w:keepNext/>
              <w:keepLines/>
              <w:spacing w:line="240" w:lineRule="auto"/>
              <w:ind w:firstLine="0"/>
              <w:jc w:val="center"/>
            </w:pPr>
            <w:r>
              <w:rPr>
                <w:b/>
                <w:sz w:val="20"/>
              </w:rPr>
              <w:t>Ascending</w:t>
            </w:r>
          </w:p>
        </w:tc>
        <w:tc>
          <w:tcPr>
            <w:tcW w:w="1871" w:type="dxa"/>
            <w:tcBorders>
              <w:top w:val="nil"/>
              <w:left w:val="nil"/>
              <w:bottom w:val="nil"/>
              <w:right w:val="nil"/>
            </w:tcBorders>
            <w:vAlign w:val="center"/>
          </w:tcPr>
          <w:p w14:paraId="1C631A70" w14:textId="77777777" w:rsidR="00983C78" w:rsidRDefault="00000000">
            <w:pPr>
              <w:keepNext/>
              <w:keepLines/>
              <w:spacing w:line="240" w:lineRule="auto"/>
              <w:ind w:firstLine="0"/>
              <w:jc w:val="center"/>
            </w:pPr>
            <w:r>
              <w:rPr>
                <w:b/>
                <w:sz w:val="20"/>
              </w:rPr>
              <w:t>Descending</w:t>
            </w:r>
          </w:p>
        </w:tc>
        <w:tc>
          <w:tcPr>
            <w:tcW w:w="1871" w:type="dxa"/>
            <w:tcBorders>
              <w:top w:val="nil"/>
              <w:left w:val="nil"/>
              <w:bottom w:val="nil"/>
              <w:right w:val="nil"/>
            </w:tcBorders>
            <w:vAlign w:val="center"/>
          </w:tcPr>
          <w:p w14:paraId="20FA0EE9" w14:textId="77777777" w:rsidR="00983C78" w:rsidRDefault="00000000">
            <w:pPr>
              <w:keepNext/>
              <w:keepLines/>
              <w:spacing w:line="240" w:lineRule="auto"/>
              <w:ind w:firstLine="0"/>
              <w:jc w:val="center"/>
            </w:pPr>
            <w:r>
              <w:rPr>
                <w:b/>
                <w:sz w:val="20"/>
              </w:rPr>
              <w:t>Random</w:t>
            </w:r>
          </w:p>
        </w:tc>
        <w:tc>
          <w:tcPr>
            <w:tcW w:w="1871" w:type="dxa"/>
            <w:tcBorders>
              <w:top w:val="nil"/>
              <w:left w:val="nil"/>
              <w:bottom w:val="nil"/>
              <w:right w:val="nil"/>
            </w:tcBorders>
            <w:vAlign w:val="center"/>
          </w:tcPr>
          <w:p w14:paraId="341ABA6A" w14:textId="77777777" w:rsidR="00983C78" w:rsidRDefault="00000000">
            <w:pPr>
              <w:keepNext/>
              <w:keepLines/>
              <w:spacing w:line="240" w:lineRule="auto"/>
              <w:ind w:firstLine="0"/>
              <w:jc w:val="center"/>
            </w:pPr>
            <w:r>
              <w:rPr>
                <w:b/>
                <w:sz w:val="20"/>
              </w:rPr>
              <w:t>Reverse random</w:t>
            </w:r>
          </w:p>
        </w:tc>
      </w:tr>
      <w:tr w:rsidR="00983C78" w14:paraId="76C08E8E" w14:textId="77777777">
        <w:trPr>
          <w:cantSplit/>
          <w:jc w:val="center"/>
        </w:trPr>
        <w:tc>
          <w:tcPr>
            <w:tcW w:w="1587" w:type="dxa"/>
            <w:tcBorders>
              <w:top w:val="nil"/>
              <w:left w:val="nil"/>
              <w:bottom w:val="nil"/>
              <w:right w:val="nil"/>
            </w:tcBorders>
            <w:vAlign w:val="center"/>
          </w:tcPr>
          <w:p w14:paraId="23029B08" w14:textId="77777777" w:rsidR="00983C78" w:rsidRDefault="00000000">
            <w:pPr>
              <w:keepNext/>
              <w:keepLines/>
              <w:spacing w:line="240" w:lineRule="auto"/>
              <w:ind w:firstLine="0"/>
              <w:jc w:val="left"/>
            </w:pPr>
            <w:r>
              <w:rPr>
                <w:sz w:val="20"/>
              </w:rPr>
              <w:t>Batch</w:t>
            </w:r>
          </w:p>
        </w:tc>
        <w:tc>
          <w:tcPr>
            <w:tcW w:w="1871" w:type="dxa"/>
            <w:tcBorders>
              <w:top w:val="nil"/>
              <w:left w:val="nil"/>
              <w:bottom w:val="nil"/>
              <w:right w:val="nil"/>
            </w:tcBorders>
            <w:vAlign w:val="center"/>
          </w:tcPr>
          <w:p w14:paraId="3602493D" w14:textId="77777777" w:rsidR="00983C78" w:rsidRDefault="00000000">
            <w:pPr>
              <w:keepNext/>
              <w:keepLines/>
              <w:spacing w:line="240" w:lineRule="auto"/>
              <w:ind w:firstLine="0"/>
              <w:jc w:val="center"/>
            </w:pPr>
            <w:r>
              <w:rPr>
                <w:sz w:val="20"/>
              </w:rPr>
              <w:t>1</w:t>
            </w:r>
          </w:p>
        </w:tc>
        <w:tc>
          <w:tcPr>
            <w:tcW w:w="1871" w:type="dxa"/>
            <w:tcBorders>
              <w:top w:val="nil"/>
              <w:left w:val="nil"/>
              <w:bottom w:val="nil"/>
              <w:right w:val="nil"/>
            </w:tcBorders>
            <w:vAlign w:val="center"/>
          </w:tcPr>
          <w:p w14:paraId="10C08B82" w14:textId="77777777" w:rsidR="00983C78" w:rsidRDefault="00000000">
            <w:pPr>
              <w:keepNext/>
              <w:keepLines/>
              <w:spacing w:line="240" w:lineRule="auto"/>
              <w:ind w:firstLine="0"/>
              <w:jc w:val="center"/>
            </w:pPr>
            <w:r>
              <w:rPr>
                <w:sz w:val="20"/>
              </w:rPr>
              <w:t>1</w:t>
            </w:r>
          </w:p>
        </w:tc>
        <w:tc>
          <w:tcPr>
            <w:tcW w:w="1871" w:type="dxa"/>
            <w:tcBorders>
              <w:top w:val="nil"/>
              <w:left w:val="nil"/>
              <w:bottom w:val="nil"/>
              <w:right w:val="nil"/>
            </w:tcBorders>
            <w:vAlign w:val="center"/>
          </w:tcPr>
          <w:p w14:paraId="45B4AA08" w14:textId="77777777" w:rsidR="00983C78" w:rsidRDefault="00000000">
            <w:pPr>
              <w:keepNext/>
              <w:keepLines/>
              <w:spacing w:line="240" w:lineRule="auto"/>
              <w:ind w:firstLine="0"/>
              <w:jc w:val="center"/>
            </w:pPr>
            <w:r>
              <w:rPr>
                <w:sz w:val="20"/>
              </w:rPr>
              <w:t>1</w:t>
            </w:r>
          </w:p>
        </w:tc>
        <w:tc>
          <w:tcPr>
            <w:tcW w:w="1871" w:type="dxa"/>
            <w:tcBorders>
              <w:top w:val="nil"/>
              <w:left w:val="nil"/>
              <w:bottom w:val="nil"/>
              <w:right w:val="nil"/>
            </w:tcBorders>
            <w:vAlign w:val="center"/>
          </w:tcPr>
          <w:p w14:paraId="3EEBCA66" w14:textId="77777777" w:rsidR="00983C78" w:rsidRDefault="00000000">
            <w:pPr>
              <w:keepNext/>
              <w:keepLines/>
              <w:spacing w:line="240" w:lineRule="auto"/>
              <w:ind w:firstLine="0"/>
              <w:jc w:val="center"/>
            </w:pPr>
            <w:r>
              <w:rPr>
                <w:sz w:val="20"/>
              </w:rPr>
              <w:t>1</w:t>
            </w:r>
          </w:p>
        </w:tc>
      </w:tr>
      <w:tr w:rsidR="00983C78" w14:paraId="43AB9DC6" w14:textId="77777777">
        <w:trPr>
          <w:cantSplit/>
          <w:jc w:val="center"/>
        </w:trPr>
        <w:tc>
          <w:tcPr>
            <w:tcW w:w="1587" w:type="dxa"/>
            <w:tcBorders>
              <w:top w:val="nil"/>
              <w:left w:val="nil"/>
              <w:bottom w:val="nil"/>
              <w:right w:val="nil"/>
            </w:tcBorders>
            <w:vAlign w:val="center"/>
          </w:tcPr>
          <w:p w14:paraId="5429E62E" w14:textId="77777777" w:rsidR="00983C78" w:rsidRDefault="00000000">
            <w:pPr>
              <w:keepLines/>
              <w:spacing w:line="240" w:lineRule="auto"/>
              <w:ind w:firstLine="0"/>
              <w:jc w:val="left"/>
            </w:pPr>
            <w:r>
              <w:rPr>
                <w:sz w:val="20"/>
              </w:rPr>
              <w:t>Sequential</w:t>
            </w:r>
          </w:p>
        </w:tc>
        <w:tc>
          <w:tcPr>
            <w:tcW w:w="1871" w:type="dxa"/>
            <w:tcBorders>
              <w:top w:val="nil"/>
              <w:left w:val="nil"/>
              <w:bottom w:val="nil"/>
              <w:right w:val="nil"/>
            </w:tcBorders>
            <w:vAlign w:val="center"/>
          </w:tcPr>
          <w:p w14:paraId="667051A5" w14:textId="77777777" w:rsidR="00983C78" w:rsidRDefault="00000000">
            <w:pPr>
              <w:keepLines/>
              <w:spacing w:line="240" w:lineRule="auto"/>
              <w:ind w:firstLine="0"/>
              <w:jc w:val="center"/>
            </w:pPr>
            <w:r>
              <w:rPr>
                <w:sz w:val="20"/>
              </w:rPr>
              <w:t>0</w:t>
            </w:r>
          </w:p>
        </w:tc>
        <w:tc>
          <w:tcPr>
            <w:tcW w:w="1871" w:type="dxa"/>
            <w:tcBorders>
              <w:top w:val="nil"/>
              <w:left w:val="nil"/>
              <w:bottom w:val="nil"/>
              <w:right w:val="nil"/>
            </w:tcBorders>
            <w:vAlign w:val="center"/>
          </w:tcPr>
          <w:p w14:paraId="7DF90619" w14:textId="77777777" w:rsidR="00983C78" w:rsidRDefault="00000000">
            <w:pPr>
              <w:keepLines/>
              <w:spacing w:line="240" w:lineRule="auto"/>
              <w:ind w:firstLine="0"/>
              <w:jc w:val="center"/>
            </w:pPr>
            <w:r>
              <w:rPr>
                <w:sz w:val="20"/>
              </w:rPr>
              <w:t>2</w:t>
            </w:r>
          </w:p>
        </w:tc>
        <w:tc>
          <w:tcPr>
            <w:tcW w:w="1871" w:type="dxa"/>
            <w:tcBorders>
              <w:top w:val="nil"/>
              <w:left w:val="nil"/>
              <w:bottom w:val="nil"/>
              <w:right w:val="nil"/>
            </w:tcBorders>
            <w:vAlign w:val="center"/>
          </w:tcPr>
          <w:p w14:paraId="556BE125" w14:textId="77777777" w:rsidR="00983C78" w:rsidRDefault="00000000">
            <w:pPr>
              <w:keepLines/>
              <w:spacing w:line="240" w:lineRule="auto"/>
              <w:ind w:firstLine="0"/>
              <w:jc w:val="center"/>
            </w:pPr>
            <w:r>
              <w:rPr>
                <w:sz w:val="20"/>
              </w:rPr>
              <w:t>0</w:t>
            </w:r>
          </w:p>
        </w:tc>
        <w:tc>
          <w:tcPr>
            <w:tcW w:w="1871" w:type="dxa"/>
            <w:tcBorders>
              <w:top w:val="nil"/>
              <w:left w:val="nil"/>
              <w:bottom w:val="nil"/>
              <w:right w:val="nil"/>
            </w:tcBorders>
            <w:vAlign w:val="center"/>
          </w:tcPr>
          <w:p w14:paraId="26A93038" w14:textId="77777777" w:rsidR="00983C78" w:rsidRDefault="00000000">
            <w:pPr>
              <w:keepLines/>
              <w:spacing w:line="240" w:lineRule="auto"/>
              <w:ind w:firstLine="0"/>
              <w:jc w:val="center"/>
            </w:pPr>
            <w:r>
              <w:rPr>
                <w:sz w:val="20"/>
              </w:rPr>
              <w:t>2</w:t>
            </w:r>
          </w:p>
        </w:tc>
      </w:tr>
    </w:tbl>
    <w:p w14:paraId="29D08F12" w14:textId="77777777" w:rsidR="00983C78" w:rsidRDefault="00983C78">
      <w:pPr>
        <w:pStyle w:val="NormalFirstParagraph"/>
      </w:pPr>
    </w:p>
    <w:p w14:paraId="410D6CB9" w14:textId="77777777" w:rsidR="00983C78" w:rsidRDefault="00000000">
      <w:r>
        <w:t>The corresponding ascending criteria describe thorough explanation and practical examples. The descending criteria describe compliance with requested length or scope and provision of actionable guidance. These excerpts demonstrate observable rubric and score differences for a single stored case; they are not used as a causal analysis.</w:t>
      </w:r>
    </w:p>
    <w:p w14:paraId="3B10BE1D" w14:textId="77777777" w:rsidR="00983C78" w:rsidRDefault="00000000">
      <w:pPr>
        <w:pStyle w:val="Titlu1"/>
      </w:pPr>
      <w:r>
        <w:t>6. Limitations and Conclusion</w:t>
      </w:r>
    </w:p>
    <w:p w14:paraId="0C5A2E43" w14:textId="77777777" w:rsidR="00983C78" w:rsidRDefault="00000000">
      <w:pPr>
        <w:pStyle w:val="Titlu2"/>
      </w:pPr>
      <w:r>
        <w:t>6.1. Limitations</w:t>
      </w:r>
    </w:p>
    <w:p w14:paraId="7AAD7E01" w14:textId="77777777" w:rsidR="00983C78" w:rsidRDefault="00000000">
      <w:pPr>
        <w:pStyle w:val="NormalFirstParagraph"/>
      </w:pPr>
      <w:r>
        <w:t>The experiment covers one HelpSteer2 dimension and one updater/judge model, so the stored evidence does not establish behaviour across models, datasets, or alternative update strategies. Agreement is measured against ordinal helpfulness annotations on 50 held-out responses grouped into 25 prompts; the resulting uncertainty intervals are correspondingly material.</w:t>
      </w:r>
    </w:p>
    <w:p w14:paraId="6CC7D902" w14:textId="77777777" w:rsidR="00983C78" w:rsidRDefault="00000000">
      <w:r>
        <w:t>The historical execution did not store a model digest, quantisation level, Ollama version, Git commit, or dirty flag. Although exact prompts, request options, outputs, and hashes are retained, the original binary identity cannot be proved retrospectively. Deterministic text truncation affects 37 calibration records and 22 held-out response records and is retained as part of the frozen procedure.</w:t>
      </w:r>
    </w:p>
    <w:p w14:paraId="49DD0A40" w14:textId="77777777" w:rsidR="00983C78" w:rsidRDefault="00000000">
      <w:r>
        <w:t>Adaptive agreement estimates are unweighted means of block-by-order condition metrics. Pooled nonlinear QWK and Spearman values are not interchangeable with these estimates. Supplementary criteria are identified structurally as criteria after the three immutable core criteria; no manual semantic drift labels are available. Finally, temperature 0 and a fixed seed do not guarantee deterministic inference, which is why complete-pipeline and fixed-rubric controls are reported separately.</w:t>
      </w:r>
    </w:p>
    <w:p w14:paraId="3FDF2213" w14:textId="77777777" w:rsidR="00983C78" w:rsidRDefault="00000000">
      <w:pPr>
        <w:pStyle w:val="Titlu2"/>
      </w:pPr>
      <w:r>
        <w:t>6.2. Conclusion</w:t>
      </w:r>
    </w:p>
    <w:p w14:paraId="78556796" w14:textId="1D8A578B" w:rsidR="000F1038" w:rsidRDefault="000F1038" w:rsidP="000F1038">
      <w:r>
        <w:t>Adaptive rubric construction introduces an additional source of variability in the evaluation of language models. In our experiments, sequential updating achieved higher agreement estimates than batch updating, although the confidence intervals did not establish a reliable advantage. It also exhibited greater sensitivity to the order of calibration examples. Further differences emerged when the entire evaluation procedure was repeated under identical calibration conditions, whereas repeated judgements using a fixed rubric remained consistent in the tested setting.</w:t>
      </w:r>
    </w:p>
    <w:p w14:paraId="40063BAE" w14:textId="7F73EE4F" w:rsidR="00983C78" w:rsidRDefault="000F1038" w:rsidP="000F1038">
      <w:r>
        <w:t>These findings highlight the importance of examining how evaluation criteria are constructed, rather than relying exclusively on agreement with human annotations. Both the presentation order of calibration evidence and the reproducibility of the construction process deserve attention when assessing the reliability of adaptive LLM judges. Whether these patterns persist across different models, evaluation tasks, and adaptation strategies remains to be investigated.</w:t>
      </w:r>
      <w:r w:rsidR="00000000">
        <w:br w:type="page"/>
      </w:r>
    </w:p>
    <w:p w14:paraId="4A2C4725" w14:textId="77777777" w:rsidR="00983C78" w:rsidRDefault="00000000">
      <w:pPr>
        <w:pStyle w:val="Titlu1"/>
        <w:pageBreakBefore/>
      </w:pPr>
      <w:r>
        <w:lastRenderedPageBreak/>
        <w:t>References</w:t>
      </w:r>
    </w:p>
    <w:p w14:paraId="1FB2347B" w14:textId="77777777" w:rsidR="00983C78" w:rsidRDefault="00000000">
      <w:pPr>
        <w:pStyle w:val="ReferencesItems"/>
      </w:pPr>
      <w:r>
        <w:t xml:space="preserve">Kwesi Adu Cobbina and Tianyi Zhou. 2025. Where to show demos in your prompt: A positional bias of in-context learning. In Proceedings of the 2025 Conference on Empirical Methods in Natural Language Processing, pages 29560–29593, Suzhou, China. Association for Computational Linguistics. </w:t>
      </w:r>
      <w:proofErr w:type="spellStart"/>
      <w:r>
        <w:t>doi</w:t>
      </w:r>
      <w:proofErr w:type="spellEnd"/>
      <w:r>
        <w:t xml:space="preserve">: 10.18653/v1/2025.emnlp-main.1503. </w:t>
      </w:r>
      <w:hyperlink r:id="rId12">
        <w:r w:rsidR="00983C78">
          <w:t>https://aclanthology.org/2025.emnlp-main.1503/</w:t>
        </w:r>
      </w:hyperlink>
    </w:p>
    <w:p w14:paraId="12940497" w14:textId="77777777" w:rsidR="00983C78" w:rsidRDefault="00000000">
      <w:pPr>
        <w:pStyle w:val="ReferencesItems"/>
      </w:pPr>
      <w:r>
        <w:t>Jacob Cohen. 1968. Weighted kappa: Nominal scale agreement provision for scaled disagreement or partial credit. Psychological Bulletin, 70(4):213.</w:t>
      </w:r>
    </w:p>
    <w:p w14:paraId="5380C748" w14:textId="77777777" w:rsidR="00983C78" w:rsidRDefault="00000000">
      <w:pPr>
        <w:pStyle w:val="ReferencesItems"/>
      </w:pPr>
      <w:r>
        <w:t xml:space="preserve">Yann Dubois, Balázs Galambosi, Percy Liang, and </w:t>
      </w:r>
      <w:proofErr w:type="spellStart"/>
      <w:r>
        <w:t>Tatsunori</w:t>
      </w:r>
      <w:proofErr w:type="spellEnd"/>
      <w:r>
        <w:t xml:space="preserve"> B. Hashimoto. 2024. Length-controlled </w:t>
      </w:r>
      <w:proofErr w:type="spellStart"/>
      <w:r>
        <w:t>AlpacaEval</w:t>
      </w:r>
      <w:proofErr w:type="spellEnd"/>
      <w:r>
        <w:t>: A simple way to debias automatic evaluators. arXiv:2404.04475.</w:t>
      </w:r>
    </w:p>
    <w:p w14:paraId="0E69F85D" w14:textId="77777777" w:rsidR="00983C78" w:rsidRDefault="00000000">
      <w:pPr>
        <w:pStyle w:val="ReferencesItems"/>
      </w:pPr>
      <w:r>
        <w:t xml:space="preserve">C. A. Field and A. H. Welsh. 2007. Bootstrapping clustered data. Journal of the Royal Statistical Society: Series B (Statistical Methodology), 69(3):369–390. </w:t>
      </w:r>
      <w:proofErr w:type="spellStart"/>
      <w:r>
        <w:t>doi</w:t>
      </w:r>
      <w:proofErr w:type="spellEnd"/>
      <w:r>
        <w:t>: 10.1111/j.1467-9868.2007.</w:t>
      </w:r>
      <w:proofErr w:type="gramStart"/>
      <w:r>
        <w:t>00593.x.</w:t>
      </w:r>
      <w:proofErr w:type="gramEnd"/>
      <w:r>
        <w:t xml:space="preserve"> </w:t>
      </w:r>
      <w:hyperlink r:id="rId13">
        <w:r w:rsidR="00983C78">
          <w:t>https://rss.onlinelibrary.wiley.com/doi/abs/10.1111/j.1467-9868.2007.00593.x</w:t>
        </w:r>
      </w:hyperlink>
    </w:p>
    <w:p w14:paraId="1269CE25" w14:textId="77777777" w:rsidR="00983C78" w:rsidRDefault="00000000">
      <w:pPr>
        <w:pStyle w:val="ReferencesItems"/>
      </w:pPr>
      <w:r>
        <w:t xml:space="preserve">Qi Guo, </w:t>
      </w:r>
      <w:proofErr w:type="spellStart"/>
      <w:r>
        <w:t>Leiyu</w:t>
      </w:r>
      <w:proofErr w:type="spellEnd"/>
      <w:r>
        <w:t xml:space="preserve"> Wang, </w:t>
      </w:r>
      <w:proofErr w:type="spellStart"/>
      <w:r>
        <w:t>Yidong</w:t>
      </w:r>
      <w:proofErr w:type="spellEnd"/>
      <w:r>
        <w:t xml:space="preserve"> Wang, Wei Ye, and </w:t>
      </w:r>
      <w:proofErr w:type="spellStart"/>
      <w:r>
        <w:t>Shikun</w:t>
      </w:r>
      <w:proofErr w:type="spellEnd"/>
      <w:r>
        <w:t xml:space="preserve"> Zhang. 2024. What makes a good order of examples in in-context learning. In Findings of the Association for Computational Linguistics: ACL 2024, pages 14892–14904, Bangkok, Thailand. Association for Computational Linguistics. </w:t>
      </w:r>
      <w:proofErr w:type="spellStart"/>
      <w:r>
        <w:t>doi</w:t>
      </w:r>
      <w:proofErr w:type="spellEnd"/>
      <w:r>
        <w:t xml:space="preserve">: 10.18653/v1/2024.findings-acl.884. </w:t>
      </w:r>
      <w:hyperlink r:id="rId14">
        <w:r w:rsidR="00983C78">
          <w:t>https://aclanthology.org/2024.findings-acl.884/</w:t>
        </w:r>
      </w:hyperlink>
    </w:p>
    <w:p w14:paraId="00162A6D" w14:textId="77777777" w:rsidR="00983C78" w:rsidRDefault="00000000">
      <w:pPr>
        <w:pStyle w:val="ReferencesItems"/>
      </w:pPr>
      <w:r>
        <w:t xml:space="preserve">Helia Hashemi, Jason Eisner, Corby Rosset, Benjamin Van Durme, and Chris Kedzie. 2024. LLM-Rubric: A multidimensional, calibrated approach to automated evaluation of natural language texts. In Proceedings of the 62nd Annual Meeting of the Association for Computational Linguistics (Volume 1: Long Papers), pages 13806–13834, Bangkok, Thailand. Association for Computational Linguistics. </w:t>
      </w:r>
      <w:proofErr w:type="spellStart"/>
      <w:r>
        <w:t>doi</w:t>
      </w:r>
      <w:proofErr w:type="spellEnd"/>
      <w:r>
        <w:t xml:space="preserve">: 10.18653/v1/2024.acl-long.745. </w:t>
      </w:r>
      <w:hyperlink r:id="rId15">
        <w:r w:rsidR="00983C78">
          <w:t>https://aclanthology.org/2024.acl-long.745/</w:t>
        </w:r>
      </w:hyperlink>
    </w:p>
    <w:p w14:paraId="6D6647ED" w14:textId="77777777" w:rsidR="00983C78" w:rsidRDefault="00000000">
      <w:pPr>
        <w:pStyle w:val="ReferencesItems"/>
      </w:pPr>
      <w:proofErr w:type="spellStart"/>
      <w:r>
        <w:t>Seungone</w:t>
      </w:r>
      <w:proofErr w:type="spellEnd"/>
      <w:r>
        <w:t xml:space="preserve"> Kim, Jamin Shin, Yejin Cho, Joel Jang, Shayne Longpre, </w:t>
      </w:r>
      <w:proofErr w:type="spellStart"/>
      <w:r>
        <w:t>Hwaran</w:t>
      </w:r>
      <w:proofErr w:type="spellEnd"/>
      <w:r>
        <w:t xml:space="preserve"> Lee, </w:t>
      </w:r>
      <w:proofErr w:type="spellStart"/>
      <w:r>
        <w:t>Sangdoo</w:t>
      </w:r>
      <w:proofErr w:type="spellEnd"/>
      <w:r>
        <w:t xml:space="preserve"> Yun, Seongjin Shin, </w:t>
      </w:r>
      <w:proofErr w:type="spellStart"/>
      <w:r>
        <w:t>Sungdong</w:t>
      </w:r>
      <w:proofErr w:type="spellEnd"/>
      <w:r>
        <w:t xml:space="preserve"> Kim, James Thorne, and Minjoon Seo. 2024. Prometheus: Inducing fine-grained evaluation capability in language models. arXiv:2310.08491. </w:t>
      </w:r>
      <w:hyperlink r:id="rId16">
        <w:r w:rsidR="00983C78">
          <w:t>https://arxiv.org/abs/2310.08491</w:t>
        </w:r>
      </w:hyperlink>
    </w:p>
    <w:p w14:paraId="07E22F03" w14:textId="77777777" w:rsidR="00983C78" w:rsidRDefault="00000000">
      <w:pPr>
        <w:pStyle w:val="ReferencesItems"/>
      </w:pPr>
      <w:proofErr w:type="spellStart"/>
      <w:r>
        <w:t>Lvxue</w:t>
      </w:r>
      <w:proofErr w:type="spellEnd"/>
      <w:r>
        <w:t xml:space="preserve"> Li, Jiaqi Chen, Xinyu Lu, </w:t>
      </w:r>
      <w:proofErr w:type="spellStart"/>
      <w:r>
        <w:t>Yaojie</w:t>
      </w:r>
      <w:proofErr w:type="spellEnd"/>
      <w:r>
        <w:t xml:space="preserve"> Lu, Hongyu Lin, Shuheng Zhou, </w:t>
      </w:r>
      <w:proofErr w:type="spellStart"/>
      <w:r>
        <w:t>Huijia</w:t>
      </w:r>
      <w:proofErr w:type="spellEnd"/>
      <w:r>
        <w:t xml:space="preserve"> Zhu, </w:t>
      </w:r>
      <w:proofErr w:type="spellStart"/>
      <w:r>
        <w:t>Weiqiang</w:t>
      </w:r>
      <w:proofErr w:type="spellEnd"/>
      <w:r>
        <w:t xml:space="preserve"> Wang, Zhongyi Liu, </w:t>
      </w:r>
      <w:proofErr w:type="spellStart"/>
      <w:r>
        <w:t>Xianpei</w:t>
      </w:r>
      <w:proofErr w:type="spellEnd"/>
      <w:r>
        <w:t xml:space="preserve"> Han, and Le Sun. 2024. Debiasing in-context learning by instructing LLMs how to follow demonstrations. In Findings of the Association for Computational Linguistics: ACL 2024, pages 7203–7215, Bangkok, Thailand. Association for Computational Linguistics. </w:t>
      </w:r>
      <w:proofErr w:type="spellStart"/>
      <w:r>
        <w:t>doi</w:t>
      </w:r>
      <w:proofErr w:type="spellEnd"/>
      <w:r>
        <w:t xml:space="preserve">: 10.18653/v1/2024.findings-acl.430. </w:t>
      </w:r>
      <w:hyperlink r:id="rId17">
        <w:r w:rsidR="00983C78">
          <w:t>https://aclanthology.org/2024.findings-acl.430/</w:t>
        </w:r>
      </w:hyperlink>
    </w:p>
    <w:p w14:paraId="0B32342D" w14:textId="77777777" w:rsidR="00983C78" w:rsidRDefault="00000000">
      <w:pPr>
        <w:pStyle w:val="ReferencesItems"/>
      </w:pPr>
      <w:r>
        <w:t xml:space="preserve">Yang Liu, Dan Iter, </w:t>
      </w:r>
      <w:proofErr w:type="spellStart"/>
      <w:r>
        <w:t>Yichong</w:t>
      </w:r>
      <w:proofErr w:type="spellEnd"/>
      <w:r>
        <w:t xml:space="preserve"> Xu, </w:t>
      </w:r>
      <w:proofErr w:type="spellStart"/>
      <w:r>
        <w:t>Shuohang</w:t>
      </w:r>
      <w:proofErr w:type="spellEnd"/>
      <w:r>
        <w:t xml:space="preserve"> Wang, </w:t>
      </w:r>
      <w:proofErr w:type="spellStart"/>
      <w:r>
        <w:t>Ruochen</w:t>
      </w:r>
      <w:proofErr w:type="spellEnd"/>
      <w:r>
        <w:t xml:space="preserve"> Xu, and Chenguang Zhu. 2023. G-Eval: NLG evaluation using GPT-4 with better human alignment. In Proceedings of the 2023 Conference on Empirical Methods in Natural Language Processing, pages 2511–2522, Singapore. Association for Computational Linguistics. </w:t>
      </w:r>
      <w:proofErr w:type="spellStart"/>
      <w:r>
        <w:t>doi</w:t>
      </w:r>
      <w:proofErr w:type="spellEnd"/>
      <w:r>
        <w:t xml:space="preserve">: 10.18653/v1/2023.emnlp-main.153. </w:t>
      </w:r>
      <w:hyperlink r:id="rId18">
        <w:r w:rsidR="00983C78">
          <w:t>https://aclanthology.org/2023.emnlp-main.153/</w:t>
        </w:r>
      </w:hyperlink>
    </w:p>
    <w:p w14:paraId="20084AA9" w14:textId="77777777" w:rsidR="00983C78" w:rsidRDefault="00000000">
      <w:pPr>
        <w:pStyle w:val="ReferencesItems"/>
      </w:pPr>
      <w:r>
        <w:t xml:space="preserve">Yao Lu, Max Bartolo, Alastair Moore, Sebastian Riedel, and Pontus </w:t>
      </w:r>
      <w:proofErr w:type="spellStart"/>
      <w:r>
        <w:t>Stenetorp</w:t>
      </w:r>
      <w:proofErr w:type="spellEnd"/>
      <w:r>
        <w:t xml:space="preserve">. 2022. Fantastically ordered prompts and where to find them: Overcoming few-shot prompt order sensitivity. In Proceedings of the 60th Annual Meeting of the Association for Computational Linguistics (Volume 1: Long Papers), pages 8086–8098, Dublin, Ireland. Association for Computational Linguistics. </w:t>
      </w:r>
      <w:proofErr w:type="spellStart"/>
      <w:r>
        <w:t>doi</w:t>
      </w:r>
      <w:proofErr w:type="spellEnd"/>
      <w:r>
        <w:t xml:space="preserve">: 10.18653/v1/2022.acl-long.556. </w:t>
      </w:r>
      <w:hyperlink r:id="rId19">
        <w:r w:rsidR="00983C78">
          <w:t>https://aclanthology.org/2022.acl-long.556/</w:t>
        </w:r>
      </w:hyperlink>
    </w:p>
    <w:p w14:paraId="79250497" w14:textId="77777777" w:rsidR="00983C78" w:rsidRDefault="00000000">
      <w:pPr>
        <w:pStyle w:val="ReferencesItems"/>
      </w:pPr>
      <w:r>
        <w:t xml:space="preserve">Lin Shi, Chiyu Ma, Wenhua Liang, Xingjian Diao, Weicheng Ma, and Soroush Vosoughi. 2025. Judging the judges: A systematic study of position bias in LLM-as-a-judge. In Proceedings of the 14th International Joint Conference on Natural Language Processing and the 4th Conference of the Asia-Pacific Chapter of the Association for Computational Linguistics, pages 292–314, Mumbai, India. </w:t>
      </w:r>
      <w:proofErr w:type="spellStart"/>
      <w:r>
        <w:t>doi</w:t>
      </w:r>
      <w:proofErr w:type="spellEnd"/>
      <w:r>
        <w:t xml:space="preserve">: 10.18653/v1/2025.ijcnlp-long.18. </w:t>
      </w:r>
      <w:hyperlink r:id="rId20">
        <w:r w:rsidR="00983C78">
          <w:t>https://aclanthology.org/2025.ijcnlp-long.18/</w:t>
        </w:r>
      </w:hyperlink>
    </w:p>
    <w:p w14:paraId="1C2E14D6" w14:textId="77777777" w:rsidR="00983C78" w:rsidRDefault="00000000">
      <w:pPr>
        <w:pStyle w:val="ReferencesItems"/>
      </w:pPr>
      <w:r>
        <w:t xml:space="preserve">Clemencia Siro, Pourya Aliannejadi, and Mohammad Aliannejadi. 2026. Learning to judge: LLMs designing and applying evaluation rubrics. In Findings of the Association for Computational Linguistics: EACL 2026, pages 6371–6389, Rabat, Morocco. Association for Computational Linguistics. </w:t>
      </w:r>
      <w:proofErr w:type="spellStart"/>
      <w:r>
        <w:t>doi</w:t>
      </w:r>
      <w:proofErr w:type="spellEnd"/>
      <w:r>
        <w:t xml:space="preserve">: 10.18653/v1/2026.findings-eacl.335. </w:t>
      </w:r>
      <w:hyperlink r:id="rId21">
        <w:r w:rsidR="00983C78">
          <w:t>https://aclanthology.org/2026.findings-eacl.335/</w:t>
        </w:r>
      </w:hyperlink>
    </w:p>
    <w:p w14:paraId="2EE21283" w14:textId="77777777" w:rsidR="00983C78" w:rsidRDefault="00000000">
      <w:pPr>
        <w:pStyle w:val="ReferencesItems"/>
      </w:pPr>
      <w:r>
        <w:t>Charles Spearman. 1987. The proof and measurement of association between two things. The American Journal of Psychology, 100(3/4):441–471.</w:t>
      </w:r>
    </w:p>
    <w:p w14:paraId="31ECEAFB" w14:textId="77777777" w:rsidR="00983C78" w:rsidRDefault="00000000">
      <w:pPr>
        <w:pStyle w:val="ReferencesItems"/>
      </w:pPr>
      <w:proofErr w:type="spellStart"/>
      <w:r>
        <w:lastRenderedPageBreak/>
        <w:t>Peiyi</w:t>
      </w:r>
      <w:proofErr w:type="spellEnd"/>
      <w:r>
        <w:t xml:space="preserve"> Wang, Lei Li, Liang Chen, </w:t>
      </w:r>
      <w:proofErr w:type="spellStart"/>
      <w:r>
        <w:t>Zefan</w:t>
      </w:r>
      <w:proofErr w:type="spellEnd"/>
      <w:r>
        <w:t xml:space="preserve"> Cai, Dawei Zhu, </w:t>
      </w:r>
      <w:proofErr w:type="spellStart"/>
      <w:r>
        <w:t>Binghuai</w:t>
      </w:r>
      <w:proofErr w:type="spellEnd"/>
      <w:r>
        <w:t xml:space="preserve"> Lin, Yunbo Cao, </w:t>
      </w:r>
      <w:proofErr w:type="spellStart"/>
      <w:r>
        <w:t>Lingpeng</w:t>
      </w:r>
      <w:proofErr w:type="spellEnd"/>
      <w:r>
        <w:t xml:space="preserve"> Kong, Qi Liu, Tianyu Liu, and </w:t>
      </w:r>
      <w:proofErr w:type="spellStart"/>
      <w:r>
        <w:t>Zhifang</w:t>
      </w:r>
      <w:proofErr w:type="spellEnd"/>
      <w:r>
        <w:t xml:space="preserve"> Sui. 2024a. Large language models are not fair evaluators. In Proceedings of the 62nd Annual Meeting of the Association for Computational Linguistics (Volume 1: Long Papers), pages 9440–9450, Bangkok, Thailand. Association for Computational Linguistics. </w:t>
      </w:r>
      <w:proofErr w:type="spellStart"/>
      <w:r>
        <w:t>doi</w:t>
      </w:r>
      <w:proofErr w:type="spellEnd"/>
      <w:r>
        <w:t xml:space="preserve">: 10.18653/v1/2024.acl-long.511. </w:t>
      </w:r>
      <w:hyperlink r:id="rId22">
        <w:r w:rsidR="00983C78">
          <w:t>https://aclanthology.org/2024.acl-long.511/</w:t>
        </w:r>
      </w:hyperlink>
    </w:p>
    <w:p w14:paraId="68FF6C48" w14:textId="77777777" w:rsidR="00983C78" w:rsidRDefault="00000000">
      <w:pPr>
        <w:pStyle w:val="ReferencesItems"/>
      </w:pPr>
      <w:proofErr w:type="spellStart"/>
      <w:r>
        <w:t>Yidong</w:t>
      </w:r>
      <w:proofErr w:type="spellEnd"/>
      <w:r>
        <w:t xml:space="preserve"> Wang, </w:t>
      </w:r>
      <w:proofErr w:type="spellStart"/>
      <w:r>
        <w:t>Zhuohao</w:t>
      </w:r>
      <w:proofErr w:type="spellEnd"/>
      <w:r>
        <w:t xml:space="preserve"> Yu, </w:t>
      </w:r>
      <w:proofErr w:type="spellStart"/>
      <w:r>
        <w:t>Zhengran</w:t>
      </w:r>
      <w:proofErr w:type="spellEnd"/>
      <w:r>
        <w:t xml:space="preserve"> Zeng, Linyi Yang, </w:t>
      </w:r>
      <w:proofErr w:type="spellStart"/>
      <w:r>
        <w:t>Cunxiang</w:t>
      </w:r>
      <w:proofErr w:type="spellEnd"/>
      <w:r>
        <w:t xml:space="preserve"> Wang, Hao Chen, </w:t>
      </w:r>
      <w:proofErr w:type="spellStart"/>
      <w:r>
        <w:t>Chaoya</w:t>
      </w:r>
      <w:proofErr w:type="spellEnd"/>
      <w:r>
        <w:t xml:space="preserve"> Jiang, Rui Xie, Jindong Wang, Xing Xie, Wei Ye, </w:t>
      </w:r>
      <w:proofErr w:type="spellStart"/>
      <w:r>
        <w:t>Shikun</w:t>
      </w:r>
      <w:proofErr w:type="spellEnd"/>
      <w:r>
        <w:t xml:space="preserve"> Zhang, and Yue Zhang. 2024b. </w:t>
      </w:r>
      <w:proofErr w:type="spellStart"/>
      <w:r>
        <w:t>PandaLM</w:t>
      </w:r>
      <w:proofErr w:type="spellEnd"/>
      <w:r>
        <w:t xml:space="preserve">: An automatic evaluation benchmark for LLM instruction tuning optimization. arXiv:2306.05087. </w:t>
      </w:r>
      <w:hyperlink r:id="rId23">
        <w:r w:rsidR="00983C78">
          <w:t>https://arxiv.org/abs/2306.05087</w:t>
        </w:r>
      </w:hyperlink>
    </w:p>
    <w:p w14:paraId="29EA02D7" w14:textId="77777777" w:rsidR="00983C78" w:rsidRDefault="00000000">
      <w:pPr>
        <w:pStyle w:val="ReferencesItems"/>
      </w:pPr>
      <w:r>
        <w:t xml:space="preserve">Zhilin Wang, Yi Dong, Olivier Delalleau, Jiaqi Zeng, Gerald Shen, Daniel Egert, Jimmy J. Zhang, Makesh N. Sreedhar, and Oleksii Kuchaiev. 2024c. </w:t>
      </w:r>
      <w:proofErr w:type="spellStart"/>
      <w:r>
        <w:t>HelpSteer</w:t>
      </w:r>
      <w:proofErr w:type="spellEnd"/>
      <w:r>
        <w:t xml:space="preserve"> 2: Open-source dataset for training top-performing reward models. Advances in Neural Information Processing Systems, 37:1474–1501.</w:t>
      </w:r>
    </w:p>
    <w:p w14:paraId="117BAF2D" w14:textId="77777777" w:rsidR="00983C78" w:rsidRDefault="00000000">
      <w:pPr>
        <w:pStyle w:val="ReferencesItems"/>
      </w:pPr>
      <w:r>
        <w:t xml:space="preserve">Koki Wataoka, Tsubasa Takahashi, and Ryokan Ri. 2025. Self-preference bias in LLM-as-a-judge. arXiv:2410.21819. </w:t>
      </w:r>
      <w:hyperlink r:id="rId24">
        <w:r w:rsidR="00983C78">
          <w:t>https://arxiv.org/abs/2410.21819</w:t>
        </w:r>
      </w:hyperlink>
    </w:p>
    <w:p w14:paraId="50FC063F" w14:textId="77777777" w:rsidR="00983C78" w:rsidRDefault="00000000">
      <w:pPr>
        <w:pStyle w:val="ReferencesItems"/>
      </w:pPr>
      <w:proofErr w:type="spellStart"/>
      <w:r>
        <w:t>Yanzheng</w:t>
      </w:r>
      <w:proofErr w:type="spellEnd"/>
      <w:r>
        <w:t xml:space="preserve"> Xiang, </w:t>
      </w:r>
      <w:proofErr w:type="spellStart"/>
      <w:r>
        <w:t>Hanqi</w:t>
      </w:r>
      <w:proofErr w:type="spellEnd"/>
      <w:r>
        <w:t xml:space="preserve"> Yan, Lin Gui, and Yulan He. 2024. Addressing order sensitivity of in-context demonstration examples in causal language models. In Findings of the Association for Computational Linguistics: ACL 2024, pages 6467–6481.</w:t>
      </w:r>
    </w:p>
    <w:p w14:paraId="6F8881DD" w14:textId="77777777" w:rsidR="00983C78" w:rsidRDefault="00000000">
      <w:pPr>
        <w:pStyle w:val="ReferencesItems"/>
      </w:pPr>
      <w:r>
        <w:t xml:space="preserve">An Yang, </w:t>
      </w:r>
      <w:proofErr w:type="spellStart"/>
      <w:r>
        <w:t>Anfeng</w:t>
      </w:r>
      <w:proofErr w:type="spellEnd"/>
      <w:r>
        <w:t xml:space="preserve"> Li, </w:t>
      </w:r>
      <w:proofErr w:type="spellStart"/>
      <w:r>
        <w:t>Baosong</w:t>
      </w:r>
      <w:proofErr w:type="spellEnd"/>
      <w:r>
        <w:t xml:space="preserve"> Yang, </w:t>
      </w:r>
      <w:proofErr w:type="spellStart"/>
      <w:r>
        <w:t>Beichen</w:t>
      </w:r>
      <w:proofErr w:type="spellEnd"/>
      <w:r>
        <w:t xml:space="preserve"> Zhang, </w:t>
      </w:r>
      <w:proofErr w:type="spellStart"/>
      <w:r>
        <w:t>Binyuan</w:t>
      </w:r>
      <w:proofErr w:type="spellEnd"/>
      <w:r>
        <w:t xml:space="preserve"> Hui, Bo Zheng, Bowen Yu, Chang Gao, </w:t>
      </w:r>
      <w:proofErr w:type="spellStart"/>
      <w:r>
        <w:t>Chengen</w:t>
      </w:r>
      <w:proofErr w:type="spellEnd"/>
      <w:r>
        <w:t xml:space="preserve"> Huang, </w:t>
      </w:r>
      <w:proofErr w:type="spellStart"/>
      <w:r>
        <w:t>Chenxu</w:t>
      </w:r>
      <w:proofErr w:type="spellEnd"/>
      <w:r>
        <w:t xml:space="preserve"> </w:t>
      </w:r>
      <w:proofErr w:type="spellStart"/>
      <w:r>
        <w:t>Lv</w:t>
      </w:r>
      <w:proofErr w:type="spellEnd"/>
      <w:r>
        <w:t xml:space="preserve">, </w:t>
      </w:r>
      <w:proofErr w:type="spellStart"/>
      <w:r>
        <w:t>Chujie</w:t>
      </w:r>
      <w:proofErr w:type="spellEnd"/>
      <w:r>
        <w:t xml:space="preserve"> Zheng, </w:t>
      </w:r>
      <w:proofErr w:type="spellStart"/>
      <w:r>
        <w:t>Dayiheng</w:t>
      </w:r>
      <w:proofErr w:type="spellEnd"/>
      <w:r>
        <w:t xml:space="preserve"> Liu, Fan Zhou, Fei Huang, Feng Hu, Hao Ge, Haoran Wei, Huan Lin, Jialong Tang, Jian Yang, Jianhong Tu, Jianwei Zhang, Jianxin Yang, </w:t>
      </w:r>
      <w:proofErr w:type="spellStart"/>
      <w:r>
        <w:t>Jiaxi</w:t>
      </w:r>
      <w:proofErr w:type="spellEnd"/>
      <w:r>
        <w:t xml:space="preserve"> Yang, Jing Zhou, </w:t>
      </w:r>
      <w:proofErr w:type="spellStart"/>
      <w:r>
        <w:t>Jingren</w:t>
      </w:r>
      <w:proofErr w:type="spellEnd"/>
      <w:r>
        <w:t xml:space="preserve"> Zhou, </w:t>
      </w:r>
      <w:proofErr w:type="spellStart"/>
      <w:r>
        <w:t>Junyang</w:t>
      </w:r>
      <w:proofErr w:type="spellEnd"/>
      <w:r>
        <w:t xml:space="preserve"> Lin, Kai Dang, Keqin Bao, Kexin Yang, Le Yu, </w:t>
      </w:r>
      <w:proofErr w:type="spellStart"/>
      <w:r>
        <w:t>Lianghao</w:t>
      </w:r>
      <w:proofErr w:type="spellEnd"/>
      <w:r>
        <w:t xml:space="preserve"> Deng, Mei Li, </w:t>
      </w:r>
      <w:proofErr w:type="spellStart"/>
      <w:r>
        <w:t>Mingfeng</w:t>
      </w:r>
      <w:proofErr w:type="spellEnd"/>
      <w:r>
        <w:t xml:space="preserve"> Xue, Mingze Li, Pei Zhang, Peng Wang, Qin Zhu, Rui Men, Ruize Gao, </w:t>
      </w:r>
      <w:proofErr w:type="spellStart"/>
      <w:r>
        <w:t>Shixuan</w:t>
      </w:r>
      <w:proofErr w:type="spellEnd"/>
      <w:r>
        <w:t xml:space="preserve"> Liu, Shuang Luo, </w:t>
      </w:r>
      <w:proofErr w:type="spellStart"/>
      <w:r>
        <w:t>Tianhao</w:t>
      </w:r>
      <w:proofErr w:type="spellEnd"/>
      <w:r>
        <w:t xml:space="preserve"> Li, Tianyi Tang, </w:t>
      </w:r>
      <w:proofErr w:type="spellStart"/>
      <w:r>
        <w:t>Wenbiao</w:t>
      </w:r>
      <w:proofErr w:type="spellEnd"/>
      <w:r>
        <w:t xml:space="preserve"> Yin, </w:t>
      </w:r>
      <w:proofErr w:type="spellStart"/>
      <w:r>
        <w:t>Xingzhang</w:t>
      </w:r>
      <w:proofErr w:type="spellEnd"/>
      <w:r>
        <w:t xml:space="preserve"> Ren, Xinyu Wang, Xinyu Zhang, Xuancheng Ren, Yang Fan, Yang Su, Yichang Zhang, Yinger Zhang, Yu Wan, </w:t>
      </w:r>
      <w:proofErr w:type="spellStart"/>
      <w:r>
        <w:t>Yuqiong</w:t>
      </w:r>
      <w:proofErr w:type="spellEnd"/>
      <w:r>
        <w:t xml:space="preserve"> Liu, Zekun Wang, </w:t>
      </w:r>
      <w:proofErr w:type="spellStart"/>
      <w:r>
        <w:t>Zeyu</w:t>
      </w:r>
      <w:proofErr w:type="spellEnd"/>
      <w:r>
        <w:t xml:space="preserve"> Cui, </w:t>
      </w:r>
      <w:proofErr w:type="spellStart"/>
      <w:r>
        <w:t>Zhenru</w:t>
      </w:r>
      <w:proofErr w:type="spellEnd"/>
      <w:r>
        <w:t xml:space="preserve"> Zhang, Zhipeng Zhou, and Zihan Qiu. 2025. Qwen3 technical report. arXiv:2505.09388. </w:t>
      </w:r>
      <w:hyperlink r:id="rId25">
        <w:r w:rsidR="00983C78">
          <w:t>https://arxiv.org/abs/2505.09388</w:t>
        </w:r>
      </w:hyperlink>
    </w:p>
    <w:p w14:paraId="62EAF976" w14:textId="77777777" w:rsidR="00983C78" w:rsidRDefault="00000000">
      <w:pPr>
        <w:pStyle w:val="ReferencesItems"/>
      </w:pPr>
      <w:proofErr w:type="spellStart"/>
      <w:r>
        <w:t>Seonghyeon</w:t>
      </w:r>
      <w:proofErr w:type="spellEnd"/>
      <w:r>
        <w:t xml:space="preserve"> Ye, Doyoung Kim, </w:t>
      </w:r>
      <w:proofErr w:type="spellStart"/>
      <w:r>
        <w:t>Sungdong</w:t>
      </w:r>
      <w:proofErr w:type="spellEnd"/>
      <w:r>
        <w:t xml:space="preserve"> Kim, </w:t>
      </w:r>
      <w:proofErr w:type="spellStart"/>
      <w:r>
        <w:t>Hyeonbin</w:t>
      </w:r>
      <w:proofErr w:type="spellEnd"/>
      <w:r>
        <w:t xml:space="preserve"> Hwang, </w:t>
      </w:r>
      <w:proofErr w:type="spellStart"/>
      <w:r>
        <w:t>Seungone</w:t>
      </w:r>
      <w:proofErr w:type="spellEnd"/>
      <w:r>
        <w:t xml:space="preserve"> Kim, </w:t>
      </w:r>
      <w:proofErr w:type="spellStart"/>
      <w:r>
        <w:t>Yongrae</w:t>
      </w:r>
      <w:proofErr w:type="spellEnd"/>
      <w:r>
        <w:t xml:space="preserve"> Jo, James Thorne, Juho Kim, and Minjoon Seo. 2024. FLASK: Fine-grained language model evaluation based on alignment skill sets. In International Conference on Learning Representations 2024.</w:t>
      </w:r>
    </w:p>
    <w:p w14:paraId="6B711F92" w14:textId="77777777" w:rsidR="00983C78" w:rsidRDefault="00000000">
      <w:pPr>
        <w:pStyle w:val="ReferencesItems"/>
      </w:pPr>
      <w:r>
        <w:t xml:space="preserve">Zhiyuan Zeng, Jiatong Yu, Tianyu Gao, Yu Meng, Tanya Goyal, and </w:t>
      </w:r>
      <w:proofErr w:type="spellStart"/>
      <w:r>
        <w:t>Danqi</w:t>
      </w:r>
      <w:proofErr w:type="spellEnd"/>
      <w:r>
        <w:t xml:space="preserve"> Chen. 2024. Evaluating large language models at evaluating instruction following. In International Conference on Learning Representations 2024.</w:t>
      </w:r>
    </w:p>
    <w:p w14:paraId="6DD51FF8" w14:textId="77777777" w:rsidR="00983C78" w:rsidRDefault="00000000">
      <w:pPr>
        <w:pStyle w:val="ReferencesItems"/>
      </w:pPr>
      <w:r>
        <w:t xml:space="preserve">Kaiyi Zhang, Ang </w:t>
      </w:r>
      <w:proofErr w:type="spellStart"/>
      <w:r>
        <w:t>Lv</w:t>
      </w:r>
      <w:proofErr w:type="spellEnd"/>
      <w:r>
        <w:t xml:space="preserve">, Yuhan Chen, Hansen Ha, Tao Xu, and Rui Yan. 2024. Batch-ICL: Effective, efficient, and order-agnostic in-context learning. In Findings of the Association for Computational Linguistics: ACL 2024, pages 10728–10739, Bangkok, Thailand. Association for Computational Linguistics. </w:t>
      </w:r>
      <w:proofErr w:type="spellStart"/>
      <w:r>
        <w:t>doi</w:t>
      </w:r>
      <w:proofErr w:type="spellEnd"/>
      <w:r>
        <w:t xml:space="preserve">: 10.18653/v1/2024.findings-acl.638. </w:t>
      </w:r>
      <w:hyperlink r:id="rId26">
        <w:r w:rsidR="00983C78">
          <w:t>https://aclanthology.org/2024.findings-acl.638/</w:t>
        </w:r>
      </w:hyperlink>
    </w:p>
    <w:p w14:paraId="243857B8" w14:textId="77777777" w:rsidR="00983C78" w:rsidRDefault="00000000">
      <w:pPr>
        <w:pStyle w:val="ReferencesItems"/>
      </w:pPr>
      <w:r>
        <w:t xml:space="preserve">Zihao Zhao, Eric Wallace, Shi Feng, Dan Klein, and Sameer Singh. 2021. Calibrate before use: Improving few-shot performance of language models. In Proceedings of the 38th International Conference on Machine Learning, volume 139, pages 12697–12706. PMLR. </w:t>
      </w:r>
      <w:hyperlink r:id="rId27">
        <w:r w:rsidR="00983C78">
          <w:t>https://proceedings.mlr.press/v139/zhao21c.html</w:t>
        </w:r>
      </w:hyperlink>
    </w:p>
    <w:p w14:paraId="2089F39B" w14:textId="77777777" w:rsidR="00983C78" w:rsidRDefault="00000000">
      <w:pPr>
        <w:pStyle w:val="ReferencesItems"/>
      </w:pPr>
      <w:proofErr w:type="spellStart"/>
      <w:r>
        <w:t>Lianmin</w:t>
      </w:r>
      <w:proofErr w:type="spellEnd"/>
      <w:r>
        <w:t xml:space="preserve"> Zheng, Wei-Lin Chiang, Ying Sheng, Siyuan Zhuang, </w:t>
      </w:r>
      <w:proofErr w:type="spellStart"/>
      <w:r>
        <w:t>Zhanghao</w:t>
      </w:r>
      <w:proofErr w:type="spellEnd"/>
      <w:r>
        <w:t xml:space="preserve"> Wu, </w:t>
      </w:r>
      <w:proofErr w:type="spellStart"/>
      <w:r>
        <w:t>Yonghao</w:t>
      </w:r>
      <w:proofErr w:type="spellEnd"/>
      <w:r>
        <w:t xml:space="preserve"> Zhuang, Zi Lin, Zhuohan Li, </w:t>
      </w:r>
      <w:proofErr w:type="spellStart"/>
      <w:r>
        <w:t>Dacheng</w:t>
      </w:r>
      <w:proofErr w:type="spellEnd"/>
      <w:r>
        <w:t xml:space="preserve"> Li, Eric Xing, Hao Zhang, Joseph Gonzalez, and Ion Stoica. 2023. Judging LLM-as-a-judge with MT-Bench and Chatbot Arena. In Advances in Neural Information Processing Systems, volume 36, pages 46595–46623. Curran Associates. </w:t>
      </w:r>
      <w:proofErr w:type="spellStart"/>
      <w:r>
        <w:t>doi</w:t>
      </w:r>
      <w:proofErr w:type="spellEnd"/>
      <w:r>
        <w:t xml:space="preserve">: 10.52202/075280-2020. </w:t>
      </w:r>
      <w:hyperlink r:id="rId28">
        <w:r w:rsidR="00983C78">
          <w:t>https://proceedings.neurips.cc/paper_files/paper/2023/file/91f18a1287b398d378ef22505bf41832-Paper-Datasets_and_Benchmarks.pdf</w:t>
        </w:r>
      </w:hyperlink>
    </w:p>
    <w:p w14:paraId="675338E7" w14:textId="77777777" w:rsidR="00983C78" w:rsidRDefault="00000000">
      <w:pPr>
        <w:pStyle w:val="ReferencesItems"/>
      </w:pPr>
      <w:r>
        <w:t xml:space="preserve">Junyi Zhou, Qiyuan Zhang, Yufei Wang, </w:t>
      </w:r>
      <w:proofErr w:type="spellStart"/>
      <w:r>
        <w:t>Fuyuan</w:t>
      </w:r>
      <w:proofErr w:type="spellEnd"/>
      <w:r>
        <w:t xml:space="preserve"> Lyu, </w:t>
      </w:r>
      <w:proofErr w:type="spellStart"/>
      <w:r>
        <w:t>Yidong</w:t>
      </w:r>
      <w:proofErr w:type="spellEnd"/>
      <w:r>
        <w:t xml:space="preserve"> Ming, Can Xu, Qingfeng Sun, Kai Zheng, Peng Kang, Xue Liu, and Chen Ma. 2026. </w:t>
      </w:r>
      <w:proofErr w:type="spellStart"/>
      <w:r>
        <w:t>RubricBench</w:t>
      </w:r>
      <w:proofErr w:type="spellEnd"/>
      <w:r>
        <w:t xml:space="preserve">: Aligning model-generated rubrics with human standards. In Proceedings of the 64th Annual Meeting of the Association for Computational Linguistics (Volume 1: Long Papers), pages 31179–31200, San Diego, California. Association for Computational Linguistics. </w:t>
      </w:r>
      <w:proofErr w:type="spellStart"/>
      <w:r>
        <w:t>doi</w:t>
      </w:r>
      <w:proofErr w:type="spellEnd"/>
      <w:r>
        <w:t xml:space="preserve">: 10.18653/v1/2026.acl-long.1439. </w:t>
      </w:r>
      <w:hyperlink r:id="rId29">
        <w:r w:rsidR="00983C78">
          <w:t>https://aclanthology.org/2026.acl-long.1439/</w:t>
        </w:r>
      </w:hyperlink>
    </w:p>
    <w:p w14:paraId="7EBAED93" w14:textId="77777777" w:rsidR="00983C78" w:rsidRDefault="00000000">
      <w:pPr>
        <w:pStyle w:val="ReferencesItems"/>
      </w:pPr>
      <w:proofErr w:type="spellStart"/>
      <w:r>
        <w:t>Lianghui</w:t>
      </w:r>
      <w:proofErr w:type="spellEnd"/>
      <w:r>
        <w:t xml:space="preserve"> Zhu, </w:t>
      </w:r>
      <w:proofErr w:type="spellStart"/>
      <w:r>
        <w:t>Xinggang</w:t>
      </w:r>
      <w:proofErr w:type="spellEnd"/>
      <w:r>
        <w:t xml:space="preserve"> Wang, and </w:t>
      </w:r>
      <w:proofErr w:type="spellStart"/>
      <w:r>
        <w:t>Xinlong</w:t>
      </w:r>
      <w:proofErr w:type="spellEnd"/>
      <w:r>
        <w:t xml:space="preserve"> Wang. 2025. </w:t>
      </w:r>
      <w:proofErr w:type="spellStart"/>
      <w:r>
        <w:t>JudgeLM</w:t>
      </w:r>
      <w:proofErr w:type="spellEnd"/>
      <w:r>
        <w:t xml:space="preserve">: Fine-tuned large language models are scalable judges. arXiv:2310.17631. </w:t>
      </w:r>
      <w:hyperlink r:id="rId30">
        <w:r w:rsidR="00983C78">
          <w:t>https://arxiv.org/abs/2310.17631</w:t>
        </w:r>
      </w:hyperlink>
    </w:p>
    <w:sectPr w:rsidR="00983C78">
      <w:headerReference w:type="default" r:id="rId31"/>
      <w:footerReference w:type="default" r:id="rId32"/>
      <w:type w:val="continuous"/>
      <w:pgSz w:w="11906" w:h="16838"/>
      <w:pgMar w:top="1417" w:right="1417" w:bottom="1417"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E0E5" w14:textId="77777777" w:rsidR="00D01C4A" w:rsidRDefault="00D01C4A">
      <w:r>
        <w:separator/>
      </w:r>
    </w:p>
  </w:endnote>
  <w:endnote w:type="continuationSeparator" w:id="0">
    <w:p w14:paraId="78D215BD" w14:textId="77777777" w:rsidR="00D01C4A" w:rsidRDefault="00D01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F80E9D0-E3A1-4C2E-86DA-C9F01F3C5E86}"/>
  </w:font>
  <w:font w:name="Calibri">
    <w:panose1 w:val="020F0502020204030204"/>
    <w:charset w:val="EE"/>
    <w:family w:val="swiss"/>
    <w:pitch w:val="variable"/>
    <w:sig w:usb0="E4002EFF" w:usb1="C200247B" w:usb2="00000009" w:usb3="00000000" w:csb0="000001FF" w:csb1="00000000"/>
    <w:embedRegular r:id="rId2" w:fontKey="{07FCCA0E-ECC1-4312-8A89-6A8CE64A6920}"/>
    <w:embedBold r:id="rId3" w:fontKey="{DC1C5EF4-0CC3-4406-A4D1-11223B913595}"/>
    <w:embedItalic r:id="rId4" w:fontKey="{C0F51CBF-4305-4852-895F-51935FCF80F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 r:id="rId5" w:fontKey="{F53C9DB0-4AF9-4FC0-8D05-CCDF10801586}"/>
  </w:font>
  <w:font w:name="MS Mincho">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220AD1F8-5E92-45E7-BA6B-BF91AFEA577D}"/>
  </w:font>
  <w:font w:name="Liberation Sans">
    <w:altName w:val="Arial"/>
    <w:charset w:val="01"/>
    <w:family w:val="swiss"/>
    <w:pitch w:val="variable"/>
  </w:font>
  <w:font w:name="Source Han Sans CN">
    <w:panose1 w:val="00000000000000000000"/>
    <w:charset w:val="00"/>
    <w:family w:val="roman"/>
    <w:notTrueType/>
    <w:pitch w:val="default"/>
  </w:font>
  <w:font w:name="Droid Sans Devanagari">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4BF82145-0C97-4025-B9C7-E4FD24C1EC09}"/>
  </w:font>
  <w:font w:name="Cambria Math">
    <w:panose1 w:val="02040503050406030204"/>
    <w:charset w:val="00"/>
    <w:family w:val="roman"/>
    <w:pitch w:val="variable"/>
    <w:sig w:usb0="E00006FF" w:usb1="420024FF" w:usb2="02000000" w:usb3="00000000" w:csb0="0000019F" w:csb1="00000000"/>
    <w:embedRegular r:id="rId8" w:fontKey="{B7472E48-020C-41B1-A4D1-02388C52C32F}"/>
    <w:embedBold r:id="rId9" w:fontKey="{3C645F44-C4A8-47D6-9ED0-7EC2C0EA9B66}"/>
    <w:embedItalic r:id="rId10" w:fontKey="{13DB13D0-2958-464F-8B56-226D4DBE25D0}"/>
  </w:font>
  <w:font w:name="Calibri Light">
    <w:panose1 w:val="020F0302020204030204"/>
    <w:charset w:val="00"/>
    <w:family w:val="swiss"/>
    <w:pitch w:val="variable"/>
    <w:sig w:usb0="E4002EFF" w:usb1="C200247B" w:usb2="00000009" w:usb3="00000000" w:csb0="000001FF" w:csb1="00000000"/>
    <w:embedRegular r:id="rId11" w:fontKey="{6E56F9B2-2626-45E5-BE94-CDB76BDE0F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6F56" w14:textId="77777777" w:rsidR="00983C78" w:rsidRDefault="00983C7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FF54" w14:textId="77777777" w:rsidR="00983C78" w:rsidRDefault="00983C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FB1E1" w14:textId="77777777" w:rsidR="00D01C4A" w:rsidRDefault="00D01C4A">
      <w:r>
        <w:separator/>
      </w:r>
    </w:p>
  </w:footnote>
  <w:footnote w:type="continuationSeparator" w:id="0">
    <w:p w14:paraId="3F09195F" w14:textId="77777777" w:rsidR="00D01C4A" w:rsidRDefault="00D01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2CAB" w14:textId="77777777" w:rsidR="00983C78" w:rsidRDefault="00983C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947F" w14:textId="77777777" w:rsidR="00983C78" w:rsidRDefault="00983C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69B"/>
    <w:multiLevelType w:val="multilevel"/>
    <w:tmpl w:val="136A4836"/>
    <w:lvl w:ilvl="0">
      <w:start w:val="1"/>
      <w:numFmt w:val="decimal"/>
      <w:pStyle w:val="ColingListBullete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691D39"/>
    <w:multiLevelType w:val="multilevel"/>
    <w:tmpl w:val="B5B80A92"/>
    <w:lvl w:ilvl="0">
      <w:start w:val="1"/>
      <w:numFmt w:val="bullet"/>
      <w:pStyle w:val="ColingAbstractHeading"/>
      <w:lvlText w:val="●"/>
      <w:lvlJc w:val="left"/>
      <w:pPr>
        <w:ind w:left="720" w:hanging="360"/>
      </w:pPr>
      <w:rPr>
        <w:rFonts w:ascii="Noto Sans Symbols" w:eastAsia="Noto Sans Symbols" w:hAnsi="Noto Sans Symbols" w:cs="Noto Sans Symbols"/>
      </w:rPr>
    </w:lvl>
    <w:lvl w:ilvl="1">
      <w:start w:val="1"/>
      <w:numFmt w:val="bullet"/>
      <w:lvlText w:val="■"/>
      <w:lvlJc w:val="left"/>
      <w:pPr>
        <w:ind w:left="1141" w:hanging="480"/>
      </w:pPr>
      <w:rPr>
        <w:rFonts w:ascii="Noto Sans Symbols" w:eastAsia="Noto Sans Symbols" w:hAnsi="Noto Sans Symbols" w:cs="Noto Sans Symbols"/>
      </w:rPr>
    </w:lvl>
    <w:lvl w:ilvl="2">
      <w:start w:val="1"/>
      <w:numFmt w:val="bullet"/>
      <w:lvlText w:val="◆"/>
      <w:lvlJc w:val="left"/>
      <w:pPr>
        <w:ind w:left="1621" w:hanging="480"/>
      </w:pPr>
      <w:rPr>
        <w:rFonts w:ascii="Noto Sans Symbols" w:eastAsia="Noto Sans Symbols" w:hAnsi="Noto Sans Symbols" w:cs="Noto Sans Symbols"/>
      </w:rPr>
    </w:lvl>
    <w:lvl w:ilvl="3">
      <w:start w:val="1"/>
      <w:numFmt w:val="bullet"/>
      <w:lvlText w:val="●"/>
      <w:lvlJc w:val="left"/>
      <w:pPr>
        <w:ind w:left="2101" w:hanging="480"/>
      </w:pPr>
      <w:rPr>
        <w:rFonts w:ascii="Noto Sans Symbols" w:eastAsia="Noto Sans Symbols" w:hAnsi="Noto Sans Symbols" w:cs="Noto Sans Symbols"/>
      </w:rPr>
    </w:lvl>
    <w:lvl w:ilvl="4">
      <w:start w:val="1"/>
      <w:numFmt w:val="bullet"/>
      <w:lvlText w:val="■"/>
      <w:lvlJc w:val="left"/>
      <w:pPr>
        <w:ind w:left="2581" w:hanging="480"/>
      </w:pPr>
      <w:rPr>
        <w:rFonts w:ascii="Noto Sans Symbols" w:eastAsia="Noto Sans Symbols" w:hAnsi="Noto Sans Symbols" w:cs="Noto Sans Symbols"/>
      </w:rPr>
    </w:lvl>
    <w:lvl w:ilvl="5">
      <w:start w:val="1"/>
      <w:numFmt w:val="bullet"/>
      <w:lvlText w:val="◆"/>
      <w:lvlJc w:val="left"/>
      <w:pPr>
        <w:ind w:left="3061" w:hanging="480"/>
      </w:pPr>
      <w:rPr>
        <w:rFonts w:ascii="Noto Sans Symbols" w:eastAsia="Noto Sans Symbols" w:hAnsi="Noto Sans Symbols" w:cs="Noto Sans Symbols"/>
      </w:rPr>
    </w:lvl>
    <w:lvl w:ilvl="6">
      <w:start w:val="1"/>
      <w:numFmt w:val="bullet"/>
      <w:lvlText w:val="●"/>
      <w:lvlJc w:val="left"/>
      <w:pPr>
        <w:ind w:left="3541" w:hanging="480"/>
      </w:pPr>
      <w:rPr>
        <w:rFonts w:ascii="Noto Sans Symbols" w:eastAsia="Noto Sans Symbols" w:hAnsi="Noto Sans Symbols" w:cs="Noto Sans Symbols"/>
      </w:rPr>
    </w:lvl>
    <w:lvl w:ilvl="7">
      <w:start w:val="1"/>
      <w:numFmt w:val="bullet"/>
      <w:lvlText w:val="■"/>
      <w:lvlJc w:val="left"/>
      <w:pPr>
        <w:ind w:left="4021" w:hanging="480"/>
      </w:pPr>
      <w:rPr>
        <w:rFonts w:ascii="Noto Sans Symbols" w:eastAsia="Noto Sans Symbols" w:hAnsi="Noto Sans Symbols" w:cs="Noto Sans Symbols"/>
      </w:rPr>
    </w:lvl>
    <w:lvl w:ilvl="8">
      <w:start w:val="1"/>
      <w:numFmt w:val="bullet"/>
      <w:lvlText w:val="◆"/>
      <w:lvlJc w:val="left"/>
      <w:pPr>
        <w:ind w:left="4501" w:hanging="480"/>
      </w:pPr>
      <w:rPr>
        <w:rFonts w:ascii="Noto Sans Symbols" w:eastAsia="Noto Sans Symbols" w:hAnsi="Noto Sans Symbols" w:cs="Noto Sans Symbols"/>
      </w:rPr>
    </w:lvl>
  </w:abstractNum>
  <w:abstractNum w:abstractNumId="2" w15:restartNumberingAfterBreak="0">
    <w:nsid w:val="24F33274"/>
    <w:multiLevelType w:val="multilevel"/>
    <w:tmpl w:val="83A018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E806B74"/>
    <w:multiLevelType w:val="hybridMultilevel"/>
    <w:tmpl w:val="33D26A24"/>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16cid:durableId="522598815">
    <w:abstractNumId w:val="2"/>
  </w:num>
  <w:num w:numId="2" w16cid:durableId="857819438">
    <w:abstractNumId w:val="1"/>
  </w:num>
  <w:num w:numId="3" w16cid:durableId="1234319064">
    <w:abstractNumId w:val="0"/>
  </w:num>
  <w:num w:numId="4" w16cid:durableId="272901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85F"/>
    <w:rsid w:val="00040253"/>
    <w:rsid w:val="000F1038"/>
    <w:rsid w:val="0017472E"/>
    <w:rsid w:val="001B7E11"/>
    <w:rsid w:val="002340D0"/>
    <w:rsid w:val="0026285F"/>
    <w:rsid w:val="002945D0"/>
    <w:rsid w:val="00296F7D"/>
    <w:rsid w:val="002F323E"/>
    <w:rsid w:val="002F3847"/>
    <w:rsid w:val="00301C96"/>
    <w:rsid w:val="00362BB4"/>
    <w:rsid w:val="00382537"/>
    <w:rsid w:val="003A293D"/>
    <w:rsid w:val="005E23B6"/>
    <w:rsid w:val="006646B3"/>
    <w:rsid w:val="006A5A33"/>
    <w:rsid w:val="006D657B"/>
    <w:rsid w:val="006E424E"/>
    <w:rsid w:val="00733EF4"/>
    <w:rsid w:val="00737610"/>
    <w:rsid w:val="00756A99"/>
    <w:rsid w:val="007D38D4"/>
    <w:rsid w:val="00883494"/>
    <w:rsid w:val="008B72F8"/>
    <w:rsid w:val="008D5090"/>
    <w:rsid w:val="00912733"/>
    <w:rsid w:val="00955E11"/>
    <w:rsid w:val="00983C78"/>
    <w:rsid w:val="00A52FB8"/>
    <w:rsid w:val="00A77BC0"/>
    <w:rsid w:val="00AD52FF"/>
    <w:rsid w:val="00B162F5"/>
    <w:rsid w:val="00B957ED"/>
    <w:rsid w:val="00B97D3C"/>
    <w:rsid w:val="00C36839"/>
    <w:rsid w:val="00C4197D"/>
    <w:rsid w:val="00C80255"/>
    <w:rsid w:val="00CB56D1"/>
    <w:rsid w:val="00CE6419"/>
    <w:rsid w:val="00D01C4A"/>
    <w:rsid w:val="00D549C1"/>
    <w:rsid w:val="00D87D61"/>
    <w:rsid w:val="00DF0A92"/>
    <w:rsid w:val="00DF390A"/>
    <w:rsid w:val="00E4597E"/>
    <w:rsid w:val="00E627C4"/>
    <w:rsid w:val="00EB66AF"/>
    <w:rsid w:val="00EB6DCC"/>
    <w:rsid w:val="00EE5F04"/>
    <w:rsid w:val="00F1085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2E70"/>
  <w15:docId w15:val="{49E07784-38BD-8547-B73B-537FF5AA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2" w:lineRule="auto"/>
      <w:ind w:firstLine="227"/>
      <w:jc w:val="both"/>
    </w:pPr>
    <w:rPr>
      <w:rFonts w:ascii="Times New Roman" w:eastAsia="Times New Roman" w:hAnsi="Times New Roman"/>
      <w:sz w:val="22"/>
    </w:rPr>
  </w:style>
  <w:style w:type="paragraph" w:styleId="Titlu1">
    <w:name w:val="heading 1"/>
    <w:basedOn w:val="Normal"/>
    <w:next w:val="Normal"/>
    <w:link w:val="Titlu1Caracter"/>
    <w:uiPriority w:val="9"/>
    <w:qFormat/>
    <w:pPr>
      <w:keepNext/>
      <w:spacing w:before="240" w:after="240"/>
      <w:outlineLvl w:val="0"/>
    </w:pPr>
    <w:rPr>
      <w:rFonts w:cs="Cambria"/>
      <w:b/>
      <w:bCs/>
      <w:sz w:val="24"/>
      <w:szCs w:val="32"/>
    </w:rPr>
  </w:style>
  <w:style w:type="paragraph" w:styleId="Titlu2">
    <w:name w:val="heading 2"/>
    <w:basedOn w:val="Normal"/>
    <w:next w:val="Normal"/>
    <w:uiPriority w:val="9"/>
    <w:semiHidden/>
    <w:unhideWhenUsed/>
    <w:qFormat/>
    <w:pPr>
      <w:keepNext/>
      <w:keepLines/>
      <w:spacing w:before="160" w:after="160"/>
      <w:outlineLvl w:val="1"/>
    </w:pPr>
    <w:rPr>
      <w:b/>
      <w:bCs/>
      <w:szCs w:val="36"/>
    </w:rPr>
  </w:style>
  <w:style w:type="paragraph" w:styleId="Titlu3">
    <w:name w:val="heading 3"/>
    <w:basedOn w:val="Normal"/>
    <w:next w:val="Normal"/>
    <w:uiPriority w:val="9"/>
    <w:semiHidden/>
    <w:unhideWhenUsed/>
    <w:qFormat/>
    <w:pPr>
      <w:keepNext/>
      <w:keepLines/>
      <w:spacing w:before="280" w:after="80"/>
      <w:outlineLvl w:val="2"/>
    </w:pPr>
    <w:rPr>
      <w:b/>
      <w:bCs/>
      <w:sz w:val="28"/>
      <w:szCs w:val="28"/>
    </w:rPr>
  </w:style>
  <w:style w:type="paragraph" w:styleId="Titlu4">
    <w:name w:val="heading 4"/>
    <w:basedOn w:val="Normal"/>
    <w:next w:val="Normal"/>
    <w:uiPriority w:val="9"/>
    <w:semiHidden/>
    <w:unhideWhenUsed/>
    <w:qFormat/>
    <w:pPr>
      <w:keepNext/>
      <w:keepLines/>
      <w:spacing w:before="240" w:after="40"/>
      <w:outlineLvl w:val="3"/>
    </w:pPr>
    <w:rPr>
      <w:b/>
      <w:bCs/>
    </w:rPr>
  </w:style>
  <w:style w:type="paragraph" w:styleId="Titlu5">
    <w:name w:val="heading 5"/>
    <w:basedOn w:val="Normal"/>
    <w:next w:val="Normal"/>
    <w:uiPriority w:val="9"/>
    <w:semiHidden/>
    <w:unhideWhenUsed/>
    <w:qFormat/>
    <w:pPr>
      <w:keepNext/>
      <w:keepLines/>
      <w:spacing w:before="220" w:after="40"/>
      <w:outlineLvl w:val="4"/>
    </w:pPr>
    <w:rPr>
      <w:b/>
      <w:bCs/>
      <w:szCs w:val="22"/>
    </w:rPr>
  </w:style>
  <w:style w:type="paragraph" w:styleId="Titlu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lu">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ColingTextIndentChar">
    <w:name w:val="Coling Text Indent Char"/>
    <w:link w:val="ColingTextIndent"/>
    <w:qFormat/>
    <w:rsid w:val="00E01C47"/>
    <w:rPr>
      <w:rFonts w:eastAsia="MS Mincho"/>
      <w:sz w:val="22"/>
      <w:lang w:val="en-US" w:eastAsia="de-DE" w:bidi="ar-SA"/>
    </w:rPr>
  </w:style>
  <w:style w:type="character" w:customStyle="1" w:styleId="FootnoteCharacters">
    <w:name w:val="Footnote Characters"/>
    <w:semiHidden/>
    <w:qFormat/>
    <w:rsid w:val="00E01C47"/>
    <w:rPr>
      <w:vertAlign w:val="superscript"/>
    </w:rPr>
  </w:style>
  <w:style w:type="character" w:customStyle="1" w:styleId="FootnoteAnchor">
    <w:name w:val="Footnote Anchor"/>
    <w:rPr>
      <w:vertAlign w:val="superscript"/>
    </w:rPr>
  </w:style>
  <w:style w:type="character" w:customStyle="1" w:styleId="ColingReferencetextChar">
    <w:name w:val="Coling Reference text Char"/>
    <w:link w:val="ColingReferencetext"/>
    <w:qFormat/>
    <w:rsid w:val="006D03C0"/>
    <w:rPr>
      <w:rFonts w:eastAsia="MS Mincho"/>
      <w:lang w:eastAsia="de-DE"/>
    </w:rPr>
  </w:style>
  <w:style w:type="character" w:customStyle="1" w:styleId="ColingTextCourier">
    <w:name w:val="Coling Text Courier"/>
    <w:qFormat/>
    <w:rsid w:val="00E01C47"/>
    <w:rPr>
      <w:rFonts w:ascii="Courier New" w:eastAsia="MS Mincho" w:hAnsi="Courier New" w:cs="Courier New"/>
      <w:sz w:val="22"/>
      <w:szCs w:val="22"/>
      <w:lang w:val="en-US" w:eastAsia="de-DE" w:bidi="ar-SA"/>
    </w:rPr>
  </w:style>
  <w:style w:type="character" w:customStyle="1" w:styleId="ColingTextChar">
    <w:name w:val="Coling Text Char"/>
    <w:link w:val="ColingText"/>
    <w:qFormat/>
    <w:rsid w:val="00E01C47"/>
    <w:rPr>
      <w:rFonts w:eastAsia="MS Mincho"/>
      <w:sz w:val="22"/>
      <w:lang w:val="en-US" w:eastAsia="de-DE" w:bidi="ar-SA"/>
    </w:rPr>
  </w:style>
  <w:style w:type="character" w:customStyle="1" w:styleId="ColingbookjournaltitleChar">
    <w:name w:val="Coling book/journal title Char"/>
    <w:link w:val="Colingbookjournaltitle"/>
    <w:qFormat/>
    <w:rsid w:val="005571C9"/>
    <w:rPr>
      <w:rFonts w:eastAsia="MS Mincho"/>
      <w:i/>
      <w:sz w:val="22"/>
      <w:lang w:val="en-US" w:eastAsia="de-DE" w:bidi="ar-SA"/>
    </w:rPr>
  </w:style>
  <w:style w:type="character" w:styleId="Accentuat">
    <w:name w:val="Emphasis"/>
    <w:qFormat/>
    <w:rsid w:val="00C4264F"/>
    <w:rPr>
      <w:i/>
      <w:iCs/>
    </w:rPr>
  </w:style>
  <w:style w:type="character" w:customStyle="1" w:styleId="Titlu1Caracter">
    <w:name w:val="Titlu 1 Caracter"/>
    <w:link w:val="Titlu1"/>
    <w:qFormat/>
    <w:rsid w:val="00AE4B27"/>
    <w:rPr>
      <w:rFonts w:ascii="Cambria" w:eastAsia="Times New Roman" w:hAnsi="Cambria" w:cs="Times New Roman"/>
      <w:b/>
      <w:bCs/>
      <w:kern w:val="2"/>
      <w:sz w:val="32"/>
      <w:szCs w:val="32"/>
      <w:lang w:eastAsia="de-DE"/>
    </w:rPr>
  </w:style>
  <w:style w:type="character" w:customStyle="1" w:styleId="TextnBalonCaracter">
    <w:name w:val="Text în Balon Caracter"/>
    <w:link w:val="TextnBalon"/>
    <w:qFormat/>
    <w:rsid w:val="008E234A"/>
    <w:rPr>
      <w:rFonts w:ascii="Tahoma" w:hAnsi="Tahoma" w:cs="Tahoma"/>
      <w:sz w:val="16"/>
      <w:szCs w:val="16"/>
      <w:lang w:eastAsia="de-DE"/>
    </w:rPr>
  </w:style>
  <w:style w:type="character" w:styleId="Hyperlink">
    <w:name w:val="Hyperlink"/>
    <w:rsid w:val="00471115"/>
    <w:rPr>
      <w:color w:val="0563C1"/>
      <w:u w:val="single"/>
    </w:rPr>
  </w:style>
  <w:style w:type="character" w:customStyle="1" w:styleId="TextnotdefinalCaracter">
    <w:name w:val="Text notă de final Caracter"/>
    <w:link w:val="Textnotdefinal"/>
    <w:qFormat/>
    <w:rsid w:val="00BB28D6"/>
    <w:rPr>
      <w:lang w:val="en-IE" w:eastAsia="de-DE"/>
    </w:rPr>
  </w:style>
  <w:style w:type="character" w:customStyle="1" w:styleId="EndnoteCharacters">
    <w:name w:val="Endnote Characters"/>
    <w:qFormat/>
    <w:rsid w:val="00BB28D6"/>
    <w:rPr>
      <w:vertAlign w:val="superscript"/>
    </w:rPr>
  </w:style>
  <w:style w:type="character" w:customStyle="1" w:styleId="EndnoteAnchor">
    <w:name w:val="Endnote Anchor"/>
    <w:rPr>
      <w:vertAlign w:val="superscript"/>
    </w:rPr>
  </w:style>
  <w:style w:type="character" w:customStyle="1" w:styleId="TextnotdesubsolCaracter">
    <w:name w:val="Text notă de subsol Caracter"/>
    <w:link w:val="Textnotdesubsol"/>
    <w:qFormat/>
    <w:rsid w:val="00F9274A"/>
    <w:rPr>
      <w:rFonts w:ascii="Times New Roman" w:hAnsi="Times New Roman"/>
      <w:kern w:val="2"/>
      <w:sz w:val="18"/>
      <w:szCs w:val="18"/>
      <w:lang w:val="en-IE" w:eastAsia="de-DE"/>
    </w:rPr>
  </w:style>
  <w:style w:type="character" w:customStyle="1" w:styleId="ACLBulletedListChar">
    <w:name w:val="ACL Bulleted List Char"/>
    <w:link w:val="ACLBulletedList"/>
    <w:qFormat/>
    <w:rsid w:val="00435224"/>
    <w:rPr>
      <w:rFonts w:eastAsia="MS Mincho"/>
      <w:sz w:val="22"/>
      <w:lang w:val="en-US"/>
    </w:rPr>
  </w:style>
  <w:style w:type="character" w:styleId="Numrdelinie">
    <w:name w:val="line number"/>
    <w:basedOn w:val="Fontdeparagrafimplicit"/>
    <w:qFormat/>
    <w:rsid w:val="002D4EE6"/>
  </w:style>
  <w:style w:type="paragraph" w:customStyle="1" w:styleId="Heading">
    <w:name w:val="Heading"/>
    <w:basedOn w:val="Normal"/>
    <w:next w:val="Corptext"/>
    <w:qFormat/>
    <w:pPr>
      <w:keepNext/>
      <w:spacing w:before="240" w:after="120"/>
    </w:pPr>
    <w:rPr>
      <w:rFonts w:ascii="Liberation Sans" w:eastAsia="Source Han Sans CN" w:hAnsi="Liberation Sans" w:cs="Droid Sans Devanagari"/>
      <w:sz w:val="28"/>
      <w:szCs w:val="28"/>
    </w:rPr>
  </w:style>
  <w:style w:type="paragraph" w:styleId="Corptext">
    <w:name w:val="Body Text"/>
    <w:basedOn w:val="Normal"/>
    <w:pPr>
      <w:spacing w:after="140" w:line="276" w:lineRule="auto"/>
    </w:pPr>
  </w:style>
  <w:style w:type="paragraph" w:styleId="List">
    <w:name w:val="List"/>
    <w:basedOn w:val="Corptext"/>
    <w:rPr>
      <w:rFonts w:cs="Droid Sans Devanagari"/>
    </w:rPr>
  </w:style>
  <w:style w:type="paragraph" w:styleId="Legend">
    <w:name w:val="caption"/>
    <w:basedOn w:val="Normal"/>
    <w:link w:val="LegendCaracter"/>
    <w:qFormat/>
    <w:pPr>
      <w:keepNext/>
      <w:suppressLineNumbers/>
      <w:spacing w:before="120" w:after="120"/>
      <w:jc w:val="center"/>
    </w:pPr>
    <w:rPr>
      <w:rFonts w:cs="Droid Sans Devanagari"/>
      <w:iCs/>
    </w:rPr>
  </w:style>
  <w:style w:type="paragraph" w:customStyle="1" w:styleId="Index">
    <w:name w:val="Index"/>
    <w:basedOn w:val="Normal"/>
    <w:qFormat/>
    <w:pPr>
      <w:suppressLineNumbers/>
    </w:pPr>
    <w:rPr>
      <w:rFonts w:cs="Droid Sans Devanagari"/>
    </w:rPr>
  </w:style>
  <w:style w:type="paragraph" w:customStyle="1" w:styleId="ColingTextIndent">
    <w:name w:val="Coling Text Indent"/>
    <w:basedOn w:val="Normal"/>
    <w:link w:val="ColingTextIndentChar"/>
    <w:qFormat/>
    <w:rsid w:val="00E01C47"/>
    <w:rPr>
      <w:rFonts w:eastAsia="MS Mincho"/>
      <w:lang w:val="en-US"/>
    </w:rPr>
  </w:style>
  <w:style w:type="paragraph" w:customStyle="1" w:styleId="ColingAddress">
    <w:name w:val="Coling Address"/>
    <w:basedOn w:val="Normal"/>
    <w:qFormat/>
    <w:rsid w:val="00E01C47"/>
    <w:pPr>
      <w:jc w:val="center"/>
    </w:pPr>
    <w:rPr>
      <w:rFonts w:eastAsia="MS Mincho"/>
    </w:rPr>
  </w:style>
  <w:style w:type="paragraph" w:customStyle="1" w:styleId="ColingAbstractHeading">
    <w:name w:val="Coling Abstract Heading"/>
    <w:basedOn w:val="Normal"/>
    <w:next w:val="ColingAbstract"/>
    <w:qFormat/>
    <w:rsid w:val="00E01C47"/>
    <w:pPr>
      <w:numPr>
        <w:numId w:val="2"/>
      </w:numPr>
      <w:spacing w:before="240" w:after="240"/>
      <w:ind w:left="0" w:firstLine="0"/>
      <w:jc w:val="center"/>
    </w:pPr>
    <w:rPr>
      <w:rFonts w:eastAsia="MS Mincho"/>
      <w:b/>
      <w:szCs w:val="26"/>
    </w:rPr>
  </w:style>
  <w:style w:type="paragraph" w:customStyle="1" w:styleId="ColingAbstract">
    <w:name w:val="Coling Abstract"/>
    <w:basedOn w:val="Normal"/>
    <w:qFormat/>
    <w:rsid w:val="00E01C47"/>
    <w:pPr>
      <w:spacing w:after="240"/>
      <w:ind w:left="340" w:right="340"/>
    </w:pPr>
    <w:rPr>
      <w:rFonts w:eastAsia="MS Mincho"/>
    </w:rPr>
  </w:style>
  <w:style w:type="paragraph" w:customStyle="1" w:styleId="ColingTitle">
    <w:name w:val="Coling Title"/>
    <w:basedOn w:val="Normal"/>
    <w:next w:val="ColingAuthor"/>
    <w:qFormat/>
    <w:rsid w:val="00E01C47"/>
    <w:pPr>
      <w:spacing w:after="300"/>
      <w:jc w:val="center"/>
    </w:pPr>
    <w:rPr>
      <w:rFonts w:eastAsia="MS Mincho"/>
      <w:b/>
      <w:bCs/>
      <w:sz w:val="30"/>
      <w:szCs w:val="30"/>
    </w:rPr>
  </w:style>
  <w:style w:type="paragraph" w:customStyle="1" w:styleId="ColingAuthor">
    <w:name w:val="Coling Author"/>
    <w:basedOn w:val="Normal"/>
    <w:next w:val="ColingAddress"/>
    <w:qFormat/>
    <w:rsid w:val="00E01C47"/>
    <w:pPr>
      <w:jc w:val="center"/>
    </w:pPr>
    <w:rPr>
      <w:rFonts w:eastAsia="MS Mincho"/>
      <w:b/>
    </w:rPr>
  </w:style>
  <w:style w:type="paragraph" w:customStyle="1" w:styleId="ColingEmail">
    <w:name w:val="Coling Email"/>
    <w:basedOn w:val="Normal"/>
    <w:qFormat/>
    <w:rsid w:val="00E01C47"/>
    <w:pPr>
      <w:spacing w:before="60" w:after="60"/>
      <w:jc w:val="center"/>
    </w:pPr>
    <w:rPr>
      <w:rFonts w:ascii="Courier New" w:hAnsi="Courier New"/>
    </w:rPr>
  </w:style>
  <w:style w:type="paragraph" w:customStyle="1" w:styleId="ColingReferencetext">
    <w:name w:val="Coling Reference text"/>
    <w:basedOn w:val="ColingTextIndent"/>
    <w:link w:val="ColingReferencetextChar"/>
    <w:qFormat/>
    <w:rsid w:val="006D03C0"/>
    <w:pPr>
      <w:spacing w:after="120"/>
      <w:ind w:left="227" w:hanging="227"/>
    </w:pPr>
    <w:rPr>
      <w:sz w:val="20"/>
    </w:rPr>
  </w:style>
  <w:style w:type="paragraph" w:customStyle="1" w:styleId="ColingExample1stLine">
    <w:name w:val="Coling Example 1st Line"/>
    <w:basedOn w:val="Normal"/>
    <w:next w:val="ColingExample"/>
    <w:qFormat/>
    <w:rsid w:val="00E01C47"/>
    <w:pPr>
      <w:spacing w:before="220"/>
      <w:ind w:left="289" w:right="289"/>
    </w:pPr>
    <w:rPr>
      <w:rFonts w:ascii="Courier New" w:hAnsi="Courier New" w:cs="Courier New"/>
      <w:szCs w:val="22"/>
    </w:rPr>
  </w:style>
  <w:style w:type="paragraph" w:customStyle="1" w:styleId="ColingExampleLastLine">
    <w:name w:val="Coling Example Last Line"/>
    <w:basedOn w:val="ColingExample1stLine"/>
    <w:next w:val="Normal"/>
    <w:qFormat/>
    <w:rsid w:val="00E01C47"/>
    <w:pPr>
      <w:spacing w:before="0" w:after="220"/>
    </w:pPr>
  </w:style>
  <w:style w:type="paragraph" w:customStyle="1" w:styleId="ColingListBulleted">
    <w:name w:val="Coling List Bulleted"/>
    <w:basedOn w:val="Normal"/>
    <w:qFormat/>
    <w:rsid w:val="00E01C47"/>
    <w:pPr>
      <w:numPr>
        <w:numId w:val="3"/>
      </w:numPr>
      <w:spacing w:after="120"/>
      <w:ind w:left="578" w:hanging="289"/>
    </w:pPr>
    <w:rPr>
      <w:rFonts w:eastAsia="MS Mincho"/>
      <w:szCs w:val="22"/>
    </w:rPr>
  </w:style>
  <w:style w:type="paragraph" w:customStyle="1" w:styleId="ColingListBulleted1stLine">
    <w:name w:val="Coling List Bulleted 1st Line"/>
    <w:basedOn w:val="ColingListBulleted"/>
    <w:next w:val="ColingListBulleted"/>
    <w:qFormat/>
    <w:rsid w:val="00E01C47"/>
    <w:pPr>
      <w:spacing w:before="120"/>
    </w:pPr>
  </w:style>
  <w:style w:type="paragraph" w:customStyle="1" w:styleId="ColingText">
    <w:name w:val="Coling Text"/>
    <w:basedOn w:val="ColingTextIndent"/>
    <w:next w:val="ColingTextIndent"/>
    <w:link w:val="ColingTextChar"/>
    <w:qFormat/>
    <w:rsid w:val="00E01C47"/>
    <w:pPr>
      <w:ind w:firstLine="0"/>
    </w:pPr>
  </w:style>
  <w:style w:type="paragraph" w:customStyle="1" w:styleId="Colingbookjournaltitle">
    <w:name w:val="Coling book/journal title"/>
    <w:basedOn w:val="ColingReferencetext"/>
    <w:link w:val="ColingbookjournaltitleChar"/>
    <w:qFormat/>
    <w:rsid w:val="005571C9"/>
    <w:rPr>
      <w:i/>
      <w:sz w:val="22"/>
    </w:rPr>
  </w:style>
  <w:style w:type="paragraph" w:customStyle="1" w:styleId="ColingSection">
    <w:name w:val="Coling Section"/>
    <w:basedOn w:val="Normal"/>
    <w:next w:val="ColingText"/>
    <w:qFormat/>
    <w:rsid w:val="00060412"/>
    <w:pPr>
      <w:keepNext/>
      <w:tabs>
        <w:tab w:val="num" w:pos="720"/>
      </w:tabs>
      <w:spacing w:before="200" w:after="160"/>
      <w:ind w:left="720" w:hanging="720"/>
    </w:pPr>
    <w:rPr>
      <w:rFonts w:eastAsia="MS Mincho"/>
      <w:b/>
      <w:bCs/>
      <w:szCs w:val="26"/>
    </w:rPr>
  </w:style>
  <w:style w:type="paragraph" w:customStyle="1" w:styleId="ColingReferencesHeading">
    <w:name w:val="Coling References Heading"/>
    <w:basedOn w:val="Normal"/>
    <w:next w:val="ColingReferencetext"/>
    <w:qFormat/>
    <w:rsid w:val="00E01C47"/>
    <w:pPr>
      <w:spacing w:before="240" w:after="120"/>
    </w:pPr>
    <w:rPr>
      <w:rFonts w:eastAsia="MS Mincho"/>
      <w:b/>
      <w:bCs/>
      <w:szCs w:val="26"/>
    </w:rPr>
  </w:style>
  <w:style w:type="paragraph" w:customStyle="1" w:styleId="ColingSubsection">
    <w:name w:val="Coling Subsection"/>
    <w:basedOn w:val="ColingSection"/>
    <w:next w:val="ColingText"/>
    <w:qFormat/>
    <w:rsid w:val="00060412"/>
    <w:pPr>
      <w:spacing w:before="160" w:after="120"/>
    </w:pPr>
    <w:rPr>
      <w:szCs w:val="22"/>
    </w:rPr>
  </w:style>
  <w:style w:type="paragraph" w:customStyle="1" w:styleId="ColingFootnotetext">
    <w:name w:val="Coling Footnote text"/>
    <w:basedOn w:val="Normal"/>
    <w:qFormat/>
    <w:rsid w:val="00E01C47"/>
    <w:rPr>
      <w:sz w:val="18"/>
    </w:rPr>
  </w:style>
  <w:style w:type="paragraph" w:customStyle="1" w:styleId="ColingExample">
    <w:name w:val="Coling Example"/>
    <w:basedOn w:val="ColingExample1stLine"/>
    <w:qFormat/>
    <w:rsid w:val="00F942EC"/>
    <w:pPr>
      <w:spacing w:before="0"/>
    </w:pPr>
  </w:style>
  <w:style w:type="paragraph" w:styleId="TextnBalon">
    <w:name w:val="Balloon Text"/>
    <w:basedOn w:val="Normal"/>
    <w:link w:val="TextnBalonCaracter"/>
    <w:qFormat/>
    <w:rsid w:val="008E234A"/>
    <w:rPr>
      <w:rFonts w:ascii="Tahoma" w:hAnsi="Tahoma"/>
      <w:sz w:val="16"/>
      <w:szCs w:val="16"/>
      <w:lang w:val="x-none"/>
    </w:rPr>
  </w:style>
  <w:style w:type="paragraph" w:styleId="Textnotdefinal">
    <w:name w:val="endnote text"/>
    <w:basedOn w:val="Normal"/>
    <w:link w:val="TextnotdefinalCaracter"/>
    <w:rsid w:val="00BB28D6"/>
    <w:pPr>
      <w:snapToGrid w:val="0"/>
    </w:pPr>
  </w:style>
  <w:style w:type="paragraph" w:styleId="Textnotdesubsol">
    <w:name w:val="footnote text"/>
    <w:basedOn w:val="Normal"/>
    <w:link w:val="TextnotdesubsolCaracter"/>
    <w:rsid w:val="00F9274A"/>
    <w:pPr>
      <w:snapToGrid w:val="0"/>
    </w:pPr>
    <w:rPr>
      <w:sz w:val="18"/>
      <w:szCs w:val="18"/>
    </w:rPr>
  </w:style>
  <w:style w:type="paragraph" w:customStyle="1" w:styleId="ACLBulletedList">
    <w:name w:val="ACL Bulleted List"/>
    <w:basedOn w:val="Normal"/>
    <w:link w:val="ACLBulletedListChar"/>
    <w:qFormat/>
    <w:rsid w:val="00435224"/>
    <w:pPr>
      <w:tabs>
        <w:tab w:val="left" w:pos="450"/>
        <w:tab w:val="num" w:pos="720"/>
      </w:tabs>
      <w:spacing w:after="200" w:line="244" w:lineRule="auto"/>
      <w:ind w:left="720" w:hanging="720"/>
    </w:pPr>
    <w:rPr>
      <w:rFonts w:eastAsia="MS Mincho"/>
      <w:lang w:val="en-US"/>
    </w:rPr>
  </w:style>
  <w:style w:type="paragraph" w:styleId="NormalWeb">
    <w:name w:val="Normal (Web)"/>
    <w:basedOn w:val="Normal"/>
    <w:uiPriority w:val="99"/>
    <w:unhideWhenUsed/>
    <w:qFormat/>
    <w:rsid w:val="00A2006A"/>
    <w:pPr>
      <w:spacing w:beforeAutospacing="1" w:afterAutospacing="1"/>
    </w:pPr>
    <w:rPr>
      <w:lang w:val="en-US"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elgril">
    <w:name w:val="Table Grid"/>
    <w:basedOn w:val="TabelNormal"/>
    <w:uiPriority w:val="59"/>
    <w:rsid w:val="00E01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words">
    <w:name w:val="Keywords"/>
    <w:basedOn w:val="Normal"/>
    <w:qFormat/>
    <w:rsid w:val="000F2583"/>
    <w:pPr>
      <w:pBdr>
        <w:top w:val="nil"/>
        <w:left w:val="nil"/>
        <w:bottom w:val="nil"/>
        <w:right w:val="nil"/>
        <w:between w:val="nil"/>
      </w:pBdr>
      <w:spacing w:before="120" w:after="120"/>
      <w:ind w:left="340" w:right="340"/>
    </w:pPr>
    <w:rPr>
      <w:color w:val="000000"/>
      <w:sz w:val="20"/>
    </w:rPr>
  </w:style>
  <w:style w:type="paragraph" w:customStyle="1" w:styleId="Affiliation">
    <w:name w:val="Affiliation"/>
    <w:basedOn w:val="Normal"/>
    <w:qFormat/>
    <w:rsid w:val="000F2583"/>
    <w:pPr>
      <w:widowControl w:val="0"/>
      <w:pBdr>
        <w:top w:val="nil"/>
        <w:left w:val="nil"/>
        <w:bottom w:val="nil"/>
        <w:right w:val="nil"/>
        <w:between w:val="nil"/>
      </w:pBdr>
      <w:jc w:val="center"/>
    </w:pPr>
    <w:rPr>
      <w:i/>
      <w:color w:val="000000"/>
    </w:rPr>
  </w:style>
  <w:style w:type="paragraph" w:customStyle="1" w:styleId="AffiliationEmail">
    <w:name w:val="AffiliationEmail"/>
    <w:basedOn w:val="Normal"/>
    <w:qFormat/>
    <w:rsid w:val="000F2583"/>
    <w:pPr>
      <w:widowControl w:val="0"/>
      <w:pBdr>
        <w:top w:val="nil"/>
        <w:left w:val="nil"/>
        <w:bottom w:val="nil"/>
        <w:right w:val="nil"/>
        <w:between w:val="nil"/>
      </w:pBdr>
      <w:jc w:val="center"/>
    </w:pPr>
    <w:rPr>
      <w:rFonts w:ascii="Courier New" w:hAnsi="Courier New" w:cs="Courier New"/>
      <w:iCs/>
      <w:color w:val="000000"/>
    </w:rPr>
  </w:style>
  <w:style w:type="paragraph" w:customStyle="1" w:styleId="ConsILREds">
    <w:name w:val="ConsILR_Eds"/>
    <w:basedOn w:val="Normal"/>
    <w:qFormat/>
    <w:rsid w:val="000F2583"/>
    <w:pPr>
      <w:tabs>
        <w:tab w:val="left" w:pos="-720"/>
      </w:tabs>
      <w:suppressAutoHyphens/>
      <w:spacing w:before="120" w:after="120"/>
      <w:jc w:val="center"/>
    </w:pPr>
    <w:rPr>
      <w:rFonts w:eastAsia="Courier New"/>
      <w:sz w:val="28"/>
      <w:szCs w:val="20"/>
      <w:lang w:val="en-US" w:eastAsia="x-none"/>
    </w:rPr>
  </w:style>
  <w:style w:type="paragraph" w:customStyle="1" w:styleId="NormalFirstParagraph">
    <w:name w:val="NormalFirstParagraph"/>
    <w:basedOn w:val="Normal"/>
    <w:next w:val="Normal"/>
    <w:qFormat/>
    <w:rsid w:val="00E97889"/>
    <w:pPr>
      <w:pBdr>
        <w:top w:val="nil"/>
        <w:left w:val="nil"/>
        <w:bottom w:val="nil"/>
        <w:right w:val="nil"/>
        <w:between w:val="nil"/>
      </w:pBdr>
      <w:ind w:firstLine="0"/>
    </w:pPr>
    <w:rPr>
      <w:color w:val="000000"/>
    </w:rPr>
  </w:style>
  <w:style w:type="character" w:customStyle="1" w:styleId="LegendCaracter">
    <w:name w:val="Legendă Caracter"/>
    <w:basedOn w:val="Fontdeparagrafimplicit"/>
    <w:link w:val="Legend"/>
    <w:rsid w:val="00E97889"/>
    <w:rPr>
      <w:rFonts w:cs="Droid Sans Devanagari"/>
      <w:i/>
      <w:iCs/>
      <w:kern w:val="2"/>
      <w:sz w:val="24"/>
      <w:szCs w:val="24"/>
      <w:lang w:val="en-IE" w:eastAsia="de-DE"/>
    </w:rPr>
  </w:style>
  <w:style w:type="paragraph" w:customStyle="1" w:styleId="ReferencesItems">
    <w:name w:val="ReferencesItems"/>
    <w:basedOn w:val="Normal"/>
    <w:qFormat/>
    <w:rsid w:val="00A10B78"/>
    <w:pPr>
      <w:pBdr>
        <w:top w:val="nil"/>
        <w:left w:val="nil"/>
        <w:bottom w:val="nil"/>
        <w:right w:val="nil"/>
        <w:between w:val="nil"/>
      </w:pBdr>
      <w:spacing w:after="120"/>
      <w:ind w:left="227" w:hanging="227"/>
    </w:pPr>
    <w:rPr>
      <w:color w:val="000000"/>
      <w:sz w:val="20"/>
      <w:szCs w:val="20"/>
    </w:rPr>
  </w:style>
  <w:style w:type="character" w:styleId="Referincomentariu">
    <w:name w:val="annotation reference"/>
    <w:basedOn w:val="Fontdeparagrafimplicit"/>
    <w:rsid w:val="00A10B78"/>
    <w:rPr>
      <w:sz w:val="16"/>
      <w:szCs w:val="16"/>
    </w:rPr>
  </w:style>
  <w:style w:type="paragraph" w:styleId="Textcomentariu">
    <w:name w:val="annotation text"/>
    <w:basedOn w:val="Normal"/>
    <w:link w:val="TextcomentariuCaracter"/>
    <w:rsid w:val="00A10B78"/>
    <w:rPr>
      <w:sz w:val="20"/>
      <w:szCs w:val="20"/>
    </w:rPr>
  </w:style>
  <w:style w:type="character" w:customStyle="1" w:styleId="TextcomentariuCaracter">
    <w:name w:val="Text comentariu Caracter"/>
    <w:basedOn w:val="Fontdeparagrafimplicit"/>
    <w:link w:val="Textcomentariu"/>
    <w:rsid w:val="00A10B78"/>
    <w:rPr>
      <w:kern w:val="2"/>
      <w:lang w:val="en-IE" w:eastAsia="de-DE"/>
    </w:rPr>
  </w:style>
  <w:style w:type="paragraph" w:styleId="SubiectComentariu">
    <w:name w:val="annotation subject"/>
    <w:basedOn w:val="Textcomentariu"/>
    <w:next w:val="Textcomentariu"/>
    <w:link w:val="SubiectComentariuCaracter"/>
    <w:semiHidden/>
    <w:unhideWhenUsed/>
    <w:rsid w:val="00A10B78"/>
    <w:rPr>
      <w:b/>
      <w:bCs/>
    </w:rPr>
  </w:style>
  <w:style w:type="character" w:customStyle="1" w:styleId="SubiectComentariuCaracter">
    <w:name w:val="Subiect Comentariu Caracter"/>
    <w:basedOn w:val="TextcomentariuCaracter"/>
    <w:link w:val="SubiectComentariu"/>
    <w:semiHidden/>
    <w:rsid w:val="00A10B78"/>
    <w:rPr>
      <w:b/>
      <w:bCs/>
      <w:kern w:val="2"/>
      <w:lang w:val="en-IE" w:eastAsia="de-DE"/>
    </w:rPr>
  </w:style>
  <w:style w:type="table" w:customStyle="1" w:styleId="a">
    <w:basedOn w:val="TabelNormal"/>
    <w:tblPr>
      <w:tblStyleRowBandSize w:val="1"/>
      <w:tblStyleColBandSize w:val="1"/>
      <w:tblCellMar>
        <w:left w:w="115" w:type="dxa"/>
        <w:right w:w="115" w:type="dxa"/>
      </w:tblCellMar>
    </w:tblPr>
  </w:style>
  <w:style w:type="table" w:customStyle="1" w:styleId="a0">
    <w:basedOn w:val="TabelNormal"/>
    <w:tblPr>
      <w:tblStyleRowBandSize w:val="1"/>
      <w:tblStyleColBandSize w:val="1"/>
      <w:tblCellMar>
        <w:left w:w="115" w:type="dxa"/>
        <w:right w:w="115" w:type="dxa"/>
      </w:tblCellMar>
    </w:tblPr>
  </w:style>
  <w:style w:type="table" w:customStyle="1" w:styleId="a1">
    <w:basedOn w:val="TabelNormal"/>
    <w:tblPr>
      <w:tblStyleRowBandSize w:val="1"/>
      <w:tblStyleColBandSize w:val="1"/>
    </w:tblPr>
  </w:style>
  <w:style w:type="paragraph" w:styleId="Subtitlu">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Pr>
  </w:style>
  <w:style w:type="table" w:customStyle="1" w:styleId="a4">
    <w:basedOn w:val="TabelNormal"/>
    <w:tblPr>
      <w:tblStyleRowBandSize w:val="1"/>
      <w:tblStyleColBandSize w:val="1"/>
    </w:tblPr>
  </w:style>
  <w:style w:type="character" w:styleId="MeniuneNerezolvat">
    <w:name w:val="Unresolved Mention"/>
    <w:basedOn w:val="Fontdeparagrafimplicit"/>
    <w:uiPriority w:val="99"/>
    <w:semiHidden/>
    <w:unhideWhenUsed/>
    <w:rsid w:val="00F1085F"/>
    <w:rPr>
      <w:color w:val="605E5C"/>
      <w:shd w:val="clear" w:color="auto" w:fill="E1DFDD"/>
    </w:rPr>
  </w:style>
  <w:style w:type="paragraph" w:styleId="Listparagraf">
    <w:name w:val="List Paragraph"/>
    <w:basedOn w:val="Normal"/>
    <w:uiPriority w:val="34"/>
    <w:qFormat/>
    <w:rsid w:val="00CB56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ss.onlinelibrary.wiley.com/doi/abs/10.1111/j.1467-9868.2007.00593.x" TargetMode="External"/><Relationship Id="rId18" Type="http://schemas.openxmlformats.org/officeDocument/2006/relationships/hyperlink" Target="https://aclanthology.org/2023.emnlp-main.153/" TargetMode="External"/><Relationship Id="rId26" Type="http://schemas.openxmlformats.org/officeDocument/2006/relationships/hyperlink" Target="https://aclanthology.org/2024.findings-acl.638/" TargetMode="External"/><Relationship Id="rId3" Type="http://schemas.openxmlformats.org/officeDocument/2006/relationships/styles" Target="styles.xml"/><Relationship Id="rId21" Type="http://schemas.openxmlformats.org/officeDocument/2006/relationships/hyperlink" Target="https://aclanthology.org/2026.findings-eacl.33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clanthology.org/2025.emnlp-main.1503/" TargetMode="External"/><Relationship Id="rId17" Type="http://schemas.openxmlformats.org/officeDocument/2006/relationships/hyperlink" Target="https://aclanthology.org/2024.findings-acl.430/" TargetMode="External"/><Relationship Id="rId25" Type="http://schemas.openxmlformats.org/officeDocument/2006/relationships/hyperlink" Target="https://arxiv.org/abs/2505.09388"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abs/2310.08491" TargetMode="External"/><Relationship Id="rId20" Type="http://schemas.openxmlformats.org/officeDocument/2006/relationships/hyperlink" Target="https://aclanthology.org/2025.ijcnlp-long.18/" TargetMode="External"/><Relationship Id="rId29" Type="http://schemas.openxmlformats.org/officeDocument/2006/relationships/hyperlink" Target="https://aclanthology.org/2026.acl-long.14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rxiv.org/abs/2410.21819"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clanthology.org/2024.acl-long.745/" TargetMode="External"/><Relationship Id="rId23" Type="http://schemas.openxmlformats.org/officeDocument/2006/relationships/hyperlink" Target="https://arxiv.org/abs/2306.05087" TargetMode="External"/><Relationship Id="rId28" Type="http://schemas.openxmlformats.org/officeDocument/2006/relationships/hyperlink" Target="https://proceedings.neurips.cc/paper_files/paper/2023/file/91f18a1287b398d378ef22505bf41832-Paper-Datasets_and_Benchmarks.pdf" TargetMode="External"/><Relationship Id="rId10" Type="http://schemas.openxmlformats.org/officeDocument/2006/relationships/image" Target="media/image1.png"/><Relationship Id="rId19" Type="http://schemas.openxmlformats.org/officeDocument/2006/relationships/hyperlink" Target="https://aclanthology.org/2022.acl-long.556/"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clanthology.org/2024.findings-acl.884/" TargetMode="External"/><Relationship Id="rId22" Type="http://schemas.openxmlformats.org/officeDocument/2006/relationships/hyperlink" Target="https://aclanthology.org/2024.acl-long.511/" TargetMode="External"/><Relationship Id="rId27" Type="http://schemas.openxmlformats.org/officeDocument/2006/relationships/hyperlink" Target="https://proceedings.mlr.press/v139/zhao21c.html" TargetMode="External"/><Relationship Id="rId30" Type="http://schemas.openxmlformats.org/officeDocument/2006/relationships/hyperlink" Target="https://arxiv.org/abs/2310.1763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VuZhEbN+PXq7D6339IqXzHlMA==">CgMxLjA4AHIhMWcwTU82Ym9iWDNjZEp3TWJfdXpJU3VYSnQ0VlRSTXQ0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10</Pages>
  <Words>5470</Words>
  <Characters>31183</Characters>
  <Application>Microsoft Office Word</Application>
  <DocSecurity>0</DocSecurity>
  <Lines>259</Lines>
  <Paragraphs>73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Ioana-Alexandra Tonu</cp:lastModifiedBy>
  <cp:revision>35</cp:revision>
  <dcterms:created xsi:type="dcterms:W3CDTF">2024-08-22T14:48:00Z</dcterms:created>
  <dcterms:modified xsi:type="dcterms:W3CDTF">2026-10-26T20:55:00Z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0x010100D9F4DB2A66E8B14CBAF18F7DE293C1E0</vt:lpwstr>
  </property>
</Properties>
</file>