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3agc0zy1neo7" w:id="0"/>
      <w:bookmarkEnd w:id="0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Java throw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27"/>
          <w:szCs w:val="27"/>
          <w:rtl w:val="0"/>
        </w:rPr>
        <w:t xml:space="preserve">throw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keyword in Java is used to explicitly throw an exception from a method or any block of code. We can throw either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checked or unchecked exceptions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. The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27"/>
          <w:szCs w:val="27"/>
          <w:rtl w:val="0"/>
        </w:rPr>
        <w:t xml:space="preserve">throw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keyword is mainly used to throw custom exceptions.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rFonts w:ascii="Nunito" w:cs="Nunito" w:eastAsia="Nunito" w:hAnsi="Nunito"/>
          <w:b w:val="1"/>
          <w:i w:val="1"/>
          <w:color w:val="980000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0000ff"/>
          <w:sz w:val="27"/>
          <w:szCs w:val="27"/>
          <w:rtl w:val="0"/>
        </w:rPr>
        <w:t xml:space="preserve">throw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980000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980000"/>
          <w:sz w:val="27"/>
          <w:szCs w:val="27"/>
          <w:rtl w:val="0"/>
        </w:rPr>
        <w:t xml:space="preserve">ArithmeticException(“/ by zero”);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But this exception i.e., Instance must be of type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27"/>
          <w:szCs w:val="27"/>
          <w:rtl w:val="0"/>
        </w:rPr>
        <w:t xml:space="preserve">Throwable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or a subclass of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Throwable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The flow of execution of the program stops immediately after the throw statement is executed and the nearest enclosing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27"/>
          <w:szCs w:val="27"/>
          <w:rtl w:val="0"/>
        </w:rPr>
        <w:t xml:space="preserve">try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block is checked to see if it has a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catch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statement that matches the type of exception. If it finds a match, control is transferred to that statement. If no matching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 catch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is found then the default exception handler will halt the program.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lb3dzz93svj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Java throws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throws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is a keyword in Java that is used in the signature of a method to indicate that this method might throw one of the listed type exceptions. The caller to these methods has to handle the exception using a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try-catch block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b w:val="1"/>
          <w:color w:val="273239"/>
          <w:sz w:val="30"/>
          <w:szCs w:val="30"/>
        </w:rPr>
      </w:pPr>
      <w:bookmarkStart w:colFirst="0" w:colLast="0" w:name="_hap9v85vhxaf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rtl w:val="0"/>
        </w:rPr>
        <w:t xml:space="preserve">Syntax of Java throws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rFonts w:ascii="Nunito" w:cs="Nunito" w:eastAsia="Nunito" w:hAnsi="Nunito"/>
          <w:i w:val="1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rtl w:val="0"/>
        </w:rPr>
        <w:t xml:space="preserve">type method_name(parameters) throws exception_list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i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60" w:before="160" w:line="288" w:lineRule="auto"/>
        <w:rPr>
          <w:rFonts w:ascii="Nunito" w:cs="Nunito" w:eastAsia="Nunito" w:hAnsi="Nunito"/>
          <w:i w:val="1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where,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exception_list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is a comma separated list of all the exceptions which a method might throw.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In a program, if there is a chance of raising an exception then the compiler always warns us about it and compulsorily we should handle that checked exception, Otherwise, we will get a compile time error saying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unreported exception XXX must be caught or declared to be thrown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To prevent this compile time error we can handle the exception in two ways: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By using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27"/>
          <w:szCs w:val="27"/>
          <w:rtl w:val="0"/>
        </w:rPr>
        <w:t xml:space="preserve">try 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By using the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27"/>
          <w:szCs w:val="27"/>
          <w:rtl w:val="0"/>
        </w:rPr>
        <w:t xml:space="preserve">throws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keyword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We can use the throws keyword to </w:t>
      </w:r>
      <w:r w:rsidDel="00000000" w:rsidR="00000000" w:rsidRPr="00000000">
        <w:rPr>
          <w:rFonts w:ascii="Nunito" w:cs="Nunito" w:eastAsia="Nunito" w:hAnsi="Nunito"/>
          <w:b w:val="1"/>
          <w:color w:val="ff00ff"/>
          <w:sz w:val="27"/>
          <w:szCs w:val="27"/>
          <w:highlight w:val="white"/>
          <w:rtl w:val="0"/>
        </w:rPr>
        <w:t xml:space="preserve">delegate the responsibility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of exception handling to the caller (It may be a method or JVM) then the caller method is responsible to handle that exception.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jxvwfapjmct1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Difference Between throw and throws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The main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differences between throw and throws in Java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are as follows:</w:t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3915"/>
        <w:gridCol w:w="2655"/>
        <w:tblGridChange w:id="0">
          <w:tblGrid>
            <w:gridCol w:w="2175"/>
            <w:gridCol w:w="3915"/>
            <w:gridCol w:w="265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160.0" w:type="dxa"/>
              <w:left w:w="60.0" w:type="dxa"/>
              <w:bottom w:w="1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rtl w:val="0"/>
              </w:rPr>
              <w:t xml:space="preserve">throw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8"/>
                <w:szCs w:val="28"/>
                <w:rtl w:val="0"/>
              </w:rPr>
              <w:t xml:space="preserve">throws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140.0" w:type="dxa"/>
              <w:left w:w="60.0" w:type="dxa"/>
              <w:bottom w:w="14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rtl w:val="0"/>
              </w:rPr>
              <w:t xml:space="preserve">Definition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is used to explicitly throw an exception.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is used to declare that a method might throw one or more exceptions.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140.0" w:type="dxa"/>
              <w:left w:w="60.0" w:type="dxa"/>
              <w:bottom w:w="14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rtl w:val="0"/>
              </w:rPr>
              <w:t xml:space="preserve">Location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is used inside a method or a block of code.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is used in the method signature.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140.0" w:type="dxa"/>
              <w:left w:w="60.0" w:type="dxa"/>
              <w:bottom w:w="14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rtl w:val="0"/>
              </w:rPr>
              <w:t xml:space="preserve">Usage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can throw both checked and unchecked exceptions.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is only used for checked exceptions. Unchecked exceptions do not require 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5"/>
                <w:szCs w:val="25"/>
                <w:rtl w:val="0"/>
              </w:rPr>
              <w:t xml:space="preserve">throws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140.0" w:type="dxa"/>
              <w:left w:w="60.0" w:type="dxa"/>
              <w:bottom w:w="14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rtl w:val="0"/>
              </w:rPr>
              <w:t xml:space="preserve">Responsibility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 method or block throws the exception.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The method’s caller is responsible for handling the exception.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140.0" w:type="dxa"/>
              <w:left w:w="60.0" w:type="dxa"/>
              <w:bottom w:w="14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rtl w:val="0"/>
              </w:rPr>
              <w:t xml:space="preserve">Flow of Execution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Stops the current flow of execution immediately.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forces the caller to handle the declared exceptions.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140.0" w:type="dxa"/>
              <w:left w:w="60.0" w:type="dxa"/>
              <w:bottom w:w="14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273239"/>
                <w:sz w:val="27"/>
                <w:szCs w:val="27"/>
                <w:rtl w:val="0"/>
              </w:rPr>
              <w:t xml:space="preserve">Example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throw new ArithmeticException(“Error”);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public void myMethod() throws IOException {}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