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F7931A"/>
          <w:sz w:val="18"/>
        </w:rPr>
        <w:t>Open-source - Nostr-native - Bitcoin-powered - PWA-first - Non-custodial</w:t>
      </w:r>
    </w:p>
    <w:p>
      <w:pPr>
        <w:pStyle w:val="Title"/>
        <w:jc w:val="center"/>
      </w:pPr>
      <w:r>
        <w:t>Ride or Die Scorecard</w:t>
      </w:r>
    </w:p>
    <w:p>
      <w:pPr>
        <w:pStyle w:val="Subtitle"/>
        <w:jc w:val="center"/>
      </w:pPr>
      <w:r>
        <w:t>Foundation Document for a Nostr-Native, Bitcoin-Powered Golf Event Platform</w:t>
      </w:r>
    </w:p>
    <w:p/>
    <w:tbl>
      <w:tblPr>
        <w:tblStyle w:val="TableGrid"/>
        <w:tblW w:type="auto" w:w="0"/>
        <w:tblLayout w:type="autofit"/>
        <w:tblLook w:firstColumn="1" w:firstRow="1" w:lastColumn="0" w:lastRow="0" w:noHBand="0" w:noVBand="1" w:val="04A0"/>
      </w:tblPr>
      <w:tblGrid>
        <w:gridCol w:w="10368"/>
      </w:tblGrid>
      <w:tr>
        <w:tc>
          <w:tcPr>
            <w:tcW w:type="dxa" w:w="10368"/>
            <w:shd w:fill="4B1D83"/>
          </w:tcPr>
          <w:p>
            <w:pPr/>
            <w:r>
              <w:rPr>
                <w:b/>
                <w:color w:val="FFFFFF"/>
                <w:sz w:val="16"/>
              </w:rPr>
              <w:t>Working Draft v0.4.1 - Nostash onboarding update</w:t>
              <w:br/>
              <w:t>26 June 2026</w:t>
              <w:br/>
              <w:t>Prepared for Joel, sponsors, organizers, developers, contributors, reviewers, and early event operators.</w:t>
            </w:r>
          </w:p>
        </w:tc>
        <w:trPr>
          <w:tblHeader/>
        </w:trPr>
      </w:tr>
    </w:tbl>
    <w:p/>
    <w:tbl>
      <w:tblPr>
        <w:tblStyle w:val="TableGrid"/>
        <w:tblW w:type="auto" w:w="0"/>
        <w:tblLook w:firstColumn="1" w:firstRow="1" w:lastColumn="0" w:lastRow="0" w:noHBand="0" w:noVBand="1" w:val="04A0"/>
      </w:tblPr>
      <w:tblGrid>
        <w:gridCol w:w="10368"/>
      </w:tblGrid>
      <w:tr>
        <w:tc>
          <w:tcPr>
            <w:tcW w:type="dxa" w:w="10368"/>
            <w:shd w:fill="EFE8F7"/>
          </w:tcPr>
          <w:p>
            <w:pPr>
              <w:spacing w:after="60"/>
            </w:pPr>
            <w:r>
              <w:rPr>
                <w:b/>
                <w:color w:val="4B1D83"/>
                <w:sz w:val="21"/>
              </w:rPr>
              <w:t>Core thesis</w:t>
            </w:r>
          </w:p>
          <w:p>
            <w:pPr>
              <w:spacing w:after="0"/>
            </w:pPr>
            <w:r>
              <w:rPr>
                <w:sz w:val="19"/>
              </w:rPr>
              <w:t>Ride or Die Scorecard is the reusable open-source platform. Ride or Die Cup is the first deployment. Golf scoring is the proving ground; the long-term product is decentralized event management built around user-owned identity, Bitcoin-native payments, open data, and community-governed software.</w:t>
            </w:r>
          </w:p>
        </w:tc>
        <w:trPr>
          <w:tblHeader/>
        </w:trPr>
      </w:tr>
    </w:tbl>
    <w:p/>
    <w:tbl>
      <w:tblPr>
        <w:tblStyle w:val="TableGrid"/>
        <w:tblW w:type="auto" w:w="0"/>
        <w:tblLayout w:type="autofit"/>
        <w:tblLook w:firstColumn="1" w:firstRow="1" w:lastColumn="0" w:lastRow="0" w:noHBand="0" w:noVBand="1" w:val="04A0"/>
      </w:tblPr>
      <w:tblGrid>
        <w:gridCol w:w="10368"/>
      </w:tblGrid>
      <w:tr>
        <w:tc>
          <w:tcPr>
            <w:tcW w:type="dxa" w:w="10368"/>
            <w:shd w:fill="4B1D83"/>
          </w:tcPr>
          <w:p>
            <w:pPr/>
            <w:r>
              <w:rPr>
                <w:b/>
                <w:color w:val="FFFFFF"/>
                <w:sz w:val="16"/>
              </w:rPr>
              <w:t>Current status</w:t>
              <w:br/>
              <w:t>The project has moved from pure concept into repository and architecture scaffolding. The product thesis, MVP definition, governance files, issue backlog, issue/PR templates, ADR process, placeholder ADRs 0001-0022, data-source registry, and CI placeholder have been created. This update adds a concrete Nostr onboarding path for normal users: guest-first access, signer-gated participation, and Nostash as the recommended iOS/iPadOS Safari NIP-07 signing path.</w:t>
            </w:r>
          </w:p>
        </w:tc>
        <w:trPr>
          <w:tblHeader/>
        </w:trPr>
      </w:tr>
    </w:tbl>
    <w:p/>
    <w:p>
      <w:pPr>
        <w:pStyle w:val="SmallText"/>
        <w:jc w:val="center"/>
      </w:pPr>
      <w:r>
        <w:rPr>
          <w:i/>
        </w:rPr>
        <w:t>Status note: this document is a current-state planning artifact. It does not certify that every generated artifact has already been committed to the live repository or that every Proposed ADR has been approved.</w:t>
      </w:r>
    </w:p>
    <w:p>
      <w:r>
        <w:br w:type="page"/>
      </w:r>
    </w:p>
    <w:p>
      <w:pPr>
        <w:pStyle w:val="Heading1"/>
        <w:keepNext/>
      </w:pPr>
      <w:r>
        <w:t>Contents</w:t>
      </w:r>
    </w:p>
    <w:p>
      <w:pPr>
        <w:spacing w:after="40"/>
        <w:ind w:left="288" w:hanging="288"/>
      </w:pPr>
      <w:r>
        <w:rPr>
          <w:sz w:val="18"/>
        </w:rPr>
        <w:t>1. Executive summary</w:t>
      </w:r>
    </w:p>
    <w:p>
      <w:pPr>
        <w:spacing w:after="40"/>
        <w:ind w:left="288" w:hanging="288"/>
      </w:pPr>
      <w:r>
        <w:rPr>
          <w:sz w:val="18"/>
        </w:rPr>
        <w:t>2. What changed since v0.3</w:t>
      </w:r>
    </w:p>
    <w:p>
      <w:pPr>
        <w:spacing w:after="40"/>
        <w:ind w:left="288" w:hanging="288"/>
      </w:pPr>
      <w:r>
        <w:rPr>
          <w:sz w:val="18"/>
        </w:rPr>
        <w:t>3. Current project status snapshot</w:t>
      </w:r>
    </w:p>
    <w:p>
      <w:pPr>
        <w:spacing w:after="40"/>
        <w:ind w:left="288" w:hanging="288"/>
      </w:pPr>
      <w:r>
        <w:rPr>
          <w:sz w:val="18"/>
        </w:rPr>
        <w:t>4. Vision, mission, and strategic objectives</w:t>
      </w:r>
    </w:p>
    <w:p>
      <w:pPr>
        <w:spacing w:after="40"/>
        <w:ind w:left="288" w:hanging="288"/>
      </w:pPr>
      <w:r>
        <w:rPr>
          <w:sz w:val="18"/>
        </w:rPr>
        <w:t>5. Governance model and repository assets</w:t>
      </w:r>
    </w:p>
    <w:p>
      <w:pPr>
        <w:spacing w:after="40"/>
        <w:ind w:left="288" w:hanging="288"/>
      </w:pPr>
      <w:r>
        <w:rPr>
          <w:sz w:val="18"/>
        </w:rPr>
        <w:t>6. Stakeholders, app users, and project delivery roles</w:t>
      </w:r>
    </w:p>
    <w:p>
      <w:pPr>
        <w:spacing w:after="40"/>
        <w:ind w:left="288" w:hanging="288"/>
      </w:pPr>
      <w:r>
        <w:rPr>
          <w:sz w:val="18"/>
        </w:rPr>
        <w:t>7. Product concept and user experience model</w:t>
      </w:r>
    </w:p>
    <w:p>
      <w:pPr>
        <w:spacing w:after="40"/>
        <w:ind w:left="288" w:hanging="288"/>
      </w:pPr>
      <w:r>
        <w:rPr>
          <w:sz w:val="18"/>
        </w:rPr>
        <w:t>8. MVP definition and scope</w:t>
      </w:r>
    </w:p>
    <w:p>
      <w:pPr>
        <w:spacing w:after="40"/>
        <w:ind w:left="288" w:hanging="288"/>
      </w:pPr>
      <w:r>
        <w:rPr>
          <w:sz w:val="18"/>
        </w:rPr>
        <w:t>9. Technical architecture and proposed stack</w:t>
      </w:r>
    </w:p>
    <w:p>
      <w:pPr>
        <w:spacing w:after="40"/>
        <w:ind w:left="288" w:hanging="288"/>
      </w:pPr>
      <w:r>
        <w:rPr>
          <w:sz w:val="18"/>
        </w:rPr>
        <w:t>10. ADR register and decision critical path</w:t>
      </w:r>
    </w:p>
    <w:p>
      <w:pPr>
        <w:spacing w:after="40"/>
        <w:ind w:left="288" w:hanging="288"/>
      </w:pPr>
      <w:r>
        <w:rPr>
          <w:sz w:val="18"/>
        </w:rPr>
        <w:t>11. Data architecture: course data, maps, and user maintenance</w:t>
      </w:r>
    </w:p>
    <w:p>
      <w:pPr>
        <w:spacing w:after="40"/>
        <w:ind w:left="288" w:hanging="288"/>
      </w:pPr>
      <w:r>
        <w:rPr>
          <w:sz w:val="18"/>
        </w:rPr>
        <w:t>12. Score integrity: validity attestations and timestamp anchoring</w:t>
      </w:r>
    </w:p>
    <w:p>
      <w:pPr>
        <w:spacing w:after="40"/>
        <w:ind w:left="288" w:hanging="288"/>
      </w:pPr>
      <w:r>
        <w:rPr>
          <w:sz w:val="18"/>
        </w:rPr>
        <w:t>13. Wallet, payments, zaps, rewards, and non-custody</w:t>
      </w:r>
    </w:p>
    <w:p>
      <w:pPr>
        <w:spacing w:after="40"/>
        <w:ind w:left="288" w:hanging="288"/>
      </w:pPr>
      <w:r>
        <w:rPr>
          <w:sz w:val="18"/>
        </w:rPr>
        <w:t>14. Security, privacy, accessibility, and non-functional requirements</w:t>
      </w:r>
    </w:p>
    <w:p>
      <w:pPr>
        <w:spacing w:after="40"/>
        <w:ind w:left="288" w:hanging="288"/>
      </w:pPr>
      <w:r>
        <w:rPr>
          <w:sz w:val="18"/>
        </w:rPr>
        <w:t>15. Product roadmap and sprint plan</w:t>
      </w:r>
    </w:p>
    <w:p>
      <w:pPr>
        <w:spacing w:after="40"/>
        <w:ind w:left="288" w:hanging="288"/>
      </w:pPr>
      <w:r>
        <w:rPr>
          <w:sz w:val="18"/>
        </w:rPr>
        <w:t>16. Backlog themes and contribution entry points</w:t>
      </w:r>
    </w:p>
    <w:p>
      <w:pPr>
        <w:spacing w:after="40"/>
        <w:ind w:left="288" w:hanging="288"/>
      </w:pPr>
      <w:r>
        <w:rPr>
          <w:sz w:val="18"/>
        </w:rPr>
        <w:t>17. Risks, open decisions, and next actions</w:t>
      </w:r>
    </w:p>
    <w:p>
      <w:pPr>
        <w:spacing w:after="40"/>
        <w:ind w:left="288" w:hanging="288"/>
      </w:pPr>
      <w:r>
        <w:rPr>
          <w:sz w:val="18"/>
        </w:rPr>
        <w:t>18. Project artifact register</w:t>
      </w:r>
    </w:p>
    <w:p>
      <w:r>
        <w:br w:type="page"/>
      </w:r>
    </w:p>
    <w:p>
      <w:pPr>
        <w:pStyle w:val="Heading1"/>
        <w:keepNext/>
      </w:pPr>
      <w:r>
        <w:t>1. Executive summary</w:t>
      </w:r>
    </w:p>
    <w:p>
      <w:r>
        <w:rPr>
          <w:sz w:val="18"/>
        </w:rPr>
        <w:t>Ride or Die Scorecard is an open-source, Nostr-native, Bitcoin/Lightning-powered platform for running golf events. Ride or Die Cup is the first real-world deployment. The product is intended to cover registration, team management, scorekeeping, course data, payments, live standings, fan engagement, pre-event qualification, and contributor-friendly governance.</w:t>
      </w:r>
    </w:p>
    <w:p>
      <w:r>
        <w:rPr>
          <w:sz w:val="18"/>
        </w:rPr>
        <w:t>The current project status is materially more advanced than the v0.3 foundation document. The project now has a README, contribution guide, code of conduct, security policy, support guide, issue templates, pull request template, ADR template, ADR index, Proposed ADRs 0001-0022, a course data-source registry, a GitHub issue backlog, WSL-optimized issue import scripts, and a placeholder CI pipeline.</w:t>
      </w:r>
    </w:p>
    <w:p>
      <w:r>
        <w:rPr>
          <w:sz w:val="18"/>
        </w:rPr>
        <w:t>The most important governance correction is that ADRs 0011-0022 should remain Proposed until they are reviewed. They define a coherent candidate implementation stack, but they are not yet final unless the maintainers formally accept them. The proposed stack is TypeScript/Express for backend, React/Vite for the PWA frontend, PostgreSQL/Prisma for persistence, Railway or Render for deployment, Nostr relay discovery with fallback relays, NWC/BTCPay for non-custodial Lightning payment flows, custom Nostr event kinds for score submissions and attestations, and Workbox/IndexedDB for offline scorekeeper behavior.</w:t>
      </w:r>
    </w:p>
    <w:tbl>
      <w:tblPr>
        <w:tblStyle w:val="TableGrid"/>
        <w:tblW w:type="auto" w:w="0"/>
        <w:tblLook w:firstColumn="1" w:firstRow="1" w:lastColumn="0" w:lastRow="0" w:noHBand="0" w:noVBand="1" w:val="04A0"/>
      </w:tblPr>
      <w:tblGrid>
        <w:gridCol w:w="10368"/>
      </w:tblGrid>
      <w:tr>
        <w:tc>
          <w:tcPr>
            <w:tcW w:type="dxa" w:w="10368"/>
            <w:shd w:fill="FFF2E2"/>
          </w:tcPr>
          <w:p>
            <w:pPr>
              <w:spacing w:after="60"/>
            </w:pPr>
            <w:r>
              <w:rPr>
                <w:b/>
                <w:color w:val="F7931A"/>
                <w:sz w:val="21"/>
              </w:rPr>
              <w:t>MVP definition in one sentence</w:t>
            </w:r>
          </w:p>
          <w:p>
            <w:pPr>
              <w:spacing w:after="0"/>
            </w:pPr>
            <w:r>
              <w:rPr>
                <w:sz w:val="19"/>
              </w:rPr>
              <w:t>A player can register with a Nostr identity, join or be assigned to a team, contribute the required fee in Bitcoin/Lightning, and have scores entered or attested through an appointed scorekeeper/marker workflow so that standings are visible in a PWA during the event.</w:t>
            </w:r>
          </w:p>
        </w:tc>
        <w:trPr>
          <w:tblHeader/>
        </w:trPr>
      </w:tr>
    </w:tbl>
    <w:p/>
    <w:tbl>
      <w:tblPr>
        <w:tblStyle w:val="TableGrid"/>
        <w:tblW w:type="auto" w:w="0"/>
        <w:tblLook w:firstColumn="1" w:firstRow="1" w:lastColumn="0" w:lastRow="0" w:noHBand="0" w:noVBand="1" w:val="04A0"/>
      </w:tblPr>
      <w:tblGrid>
        <w:gridCol w:w="10368"/>
      </w:tblGrid>
      <w:tr>
        <w:tc>
          <w:tcPr>
            <w:tcW w:type="dxa" w:w="10368"/>
            <w:shd w:fill="EFE8F7"/>
          </w:tcPr>
          <w:p>
            <w:pPr>
              <w:spacing w:after="60"/>
            </w:pPr>
            <w:r>
              <w:rPr>
                <w:b/>
                <w:color w:val="4B1D83"/>
                <w:sz w:val="21"/>
              </w:rPr>
              <w:t>Current execution posture</w:t>
            </w:r>
          </w:p>
          <w:p>
            <w:pPr>
              <w:spacing w:after="0"/>
            </w:pPr>
            <w:r>
              <w:rPr>
                <w:sz w:val="19"/>
              </w:rPr>
              <w:t>The project is ready for Sprint 0 review and Sprint 1 kickoff after the team confirms ADR status, imports or commits the generated repository assets, and replaces CI placeholders with real commands once the implementation codebase is initialized.</w:t>
            </w:r>
          </w:p>
        </w:tc>
        <w:trPr>
          <w:tblHeader/>
        </w:trPr>
      </w:tr>
    </w:tbl>
    <w:p/>
    <w:p>
      <w:pPr>
        <w:pStyle w:val="Heading1"/>
        <w:keepNext/>
      </w:pPr>
      <w:r>
        <w:t>2. What changed since v0.3</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592"/>
            <w:shd w:fill="4B1D83"/>
            <w:vAlign w:val="center"/>
          </w:tcPr>
          <w:p>
            <w:pPr>
              <w:spacing w:after="0"/>
            </w:pPr>
            <w:r>
              <w:rPr>
                <w:b/>
                <w:color w:val="FFFFFF"/>
                <w:sz w:val="16"/>
              </w:rPr>
            </w:r>
            <w:r>
              <w:rPr>
                <w:b/>
                <w:color w:val="FFFFFF"/>
                <w:sz w:val="16"/>
              </w:rPr>
              <w:t>Area</w:t>
            </w:r>
          </w:p>
        </w:tc>
        <w:tc>
          <w:tcPr>
            <w:tcW w:type="dxa" w:w="8064"/>
            <w:shd w:fill="4B1D83"/>
            <w:vAlign w:val="center"/>
          </w:tcPr>
          <w:p>
            <w:pPr>
              <w:spacing w:after="0"/>
            </w:pPr>
            <w:r>
              <w:rPr>
                <w:b/>
                <w:color w:val="FFFFFF"/>
                <w:sz w:val="16"/>
              </w:rPr>
            </w:r>
            <w:r>
              <w:rPr>
                <w:b/>
                <w:color w:val="FFFFFF"/>
                <w:sz w:val="16"/>
              </w:rPr>
              <w:t>v0.4 update</w:t>
            </w:r>
          </w:p>
        </w:tc>
      </w:tr>
      <w:tr>
        <w:tc>
          <w:tcPr>
            <w:tcW w:type="dxa" w:w="2592"/>
            <w:vAlign w:val="top"/>
            <w:shd w:fill="FFFFFF"/>
          </w:tcPr>
          <w:p>
            <w:pPr>
              <w:spacing w:after="0"/>
            </w:pPr>
            <w:r>
              <w:rPr>
                <w:sz w:val="16"/>
              </w:rPr>
            </w:r>
            <w:r>
              <w:rPr>
                <w:b w:val="0"/>
                <w:sz w:val="16"/>
              </w:rPr>
              <w:t>Foundation status</w:t>
            </w:r>
          </w:p>
        </w:tc>
        <w:tc>
          <w:tcPr>
            <w:tcW w:type="dxa" w:w="8064"/>
            <w:vAlign w:val="top"/>
            <w:shd w:fill="FFFFFF"/>
          </w:tcPr>
          <w:p>
            <w:pPr>
              <w:spacing w:after="0"/>
            </w:pPr>
            <w:r>
              <w:rPr>
                <w:sz w:val="16"/>
              </w:rPr>
            </w:r>
            <w:r>
              <w:rPr>
                <w:b w:val="0"/>
                <w:sz w:val="16"/>
              </w:rPr>
              <w:t>v0.3 was product direction; v0.4 is project-state alignment across docs, ADRs, CI, issue workflow, and data-source governance.</w:t>
            </w:r>
          </w:p>
        </w:tc>
      </w:tr>
      <w:tr>
        <w:tc>
          <w:tcPr>
            <w:tcW w:type="dxa" w:w="2592"/>
            <w:vAlign w:val="top"/>
            <w:shd w:fill="FFFFFF"/>
          </w:tcPr>
          <w:p>
            <w:pPr>
              <w:spacing w:after="0"/>
            </w:pPr>
            <w:r>
              <w:rPr>
                <w:sz w:val="16"/>
              </w:rPr>
            </w:r>
            <w:r>
              <w:rPr>
                <w:b w:val="0"/>
                <w:sz w:val="16"/>
              </w:rPr>
              <w:t>ADR governance</w:t>
            </w:r>
          </w:p>
        </w:tc>
        <w:tc>
          <w:tcPr>
            <w:tcW w:type="dxa" w:w="8064"/>
            <w:vAlign w:val="top"/>
            <w:shd w:fill="FFFFFF"/>
          </w:tcPr>
          <w:p>
            <w:pPr>
              <w:spacing w:after="0"/>
            </w:pPr>
            <w:r>
              <w:rPr>
                <w:sz w:val="16"/>
              </w:rPr>
            </w:r>
            <w:r>
              <w:rPr>
                <w:b w:val="0"/>
                <w:sz w:val="16"/>
              </w:rPr>
              <w:t>ADR template and ADR index exist. ADRs 0001-0022 are now represented, with 0011-0022 imported as Proposed instead of Accepted.</w:t>
            </w:r>
          </w:p>
        </w:tc>
      </w:tr>
      <w:tr>
        <w:tc>
          <w:tcPr>
            <w:tcW w:type="dxa" w:w="2592"/>
            <w:vAlign w:val="top"/>
            <w:shd w:fill="FFFFFF"/>
          </w:tcPr>
          <w:p>
            <w:pPr>
              <w:spacing w:after="0"/>
            </w:pPr>
            <w:r>
              <w:rPr>
                <w:sz w:val="16"/>
              </w:rPr>
            </w:r>
            <w:r>
              <w:rPr>
                <w:b w:val="0"/>
                <w:sz w:val="16"/>
              </w:rPr>
              <w:t>Attestation model</w:t>
            </w:r>
          </w:p>
        </w:tc>
        <w:tc>
          <w:tcPr>
            <w:tcW w:type="dxa" w:w="8064"/>
            <w:vAlign w:val="top"/>
            <w:shd w:fill="FFFFFF"/>
          </w:tcPr>
          <w:p>
            <w:pPr>
              <w:spacing w:after="0"/>
            </w:pPr>
            <w:r>
              <w:rPr>
                <w:sz w:val="16"/>
              </w:rPr>
            </w:r>
            <w:r>
              <w:rPr>
                <w:b w:val="0"/>
                <w:sz w:val="16"/>
              </w:rPr>
              <w:t>Scorecard validity attestations are separated from timestamp anchoring. NIP-03 proves existence at a time; signer attestations signal score validity.</w:t>
            </w:r>
          </w:p>
        </w:tc>
      </w:tr>
      <w:tr>
        <w:tc>
          <w:tcPr>
            <w:tcW w:type="dxa" w:w="2592"/>
            <w:vAlign w:val="top"/>
            <w:shd w:fill="FFFFFF"/>
          </w:tcPr>
          <w:p>
            <w:pPr>
              <w:spacing w:after="0"/>
            </w:pPr>
            <w:r>
              <w:rPr>
                <w:sz w:val="16"/>
              </w:rPr>
            </w:r>
            <w:r>
              <w:rPr>
                <w:b w:val="0"/>
                <w:sz w:val="16"/>
              </w:rPr>
              <w:t>Repository scaffolding</w:t>
            </w:r>
          </w:p>
        </w:tc>
        <w:tc>
          <w:tcPr>
            <w:tcW w:type="dxa" w:w="8064"/>
            <w:vAlign w:val="top"/>
            <w:shd w:fill="FFFFFF"/>
          </w:tcPr>
          <w:p>
            <w:pPr>
              <w:spacing w:after="0"/>
            </w:pPr>
            <w:r>
              <w:rPr>
                <w:sz w:val="16"/>
              </w:rPr>
            </w:r>
            <w:r>
              <w:rPr>
                <w:b w:val="0"/>
                <w:sz w:val="16"/>
              </w:rPr>
              <w:t>README, CONTRIBUTING, CODE_OF_CONDUCT, SECURITY, SUPPORT, issue templates, PR template, and ADR process files have been generated.</w:t>
            </w:r>
          </w:p>
        </w:tc>
      </w:tr>
      <w:tr>
        <w:tc>
          <w:tcPr>
            <w:tcW w:type="dxa" w:w="2592"/>
            <w:vAlign w:val="top"/>
            <w:shd w:fill="FFFFFF"/>
          </w:tcPr>
          <w:p>
            <w:pPr>
              <w:spacing w:after="0"/>
            </w:pPr>
            <w:r>
              <w:rPr>
                <w:sz w:val="16"/>
              </w:rPr>
            </w:r>
            <w:r>
              <w:rPr>
                <w:b w:val="0"/>
                <w:sz w:val="16"/>
              </w:rPr>
              <w:t>Delivery workflow</w:t>
            </w:r>
          </w:p>
        </w:tc>
        <w:tc>
          <w:tcPr>
            <w:tcW w:type="dxa" w:w="8064"/>
            <w:vAlign w:val="top"/>
            <w:shd w:fill="FFFFFF"/>
          </w:tcPr>
          <w:p>
            <w:pPr>
              <w:spacing w:after="0"/>
            </w:pPr>
            <w:r>
              <w:rPr>
                <w:sz w:val="16"/>
              </w:rPr>
            </w:r>
            <w:r>
              <w:rPr>
                <w:b w:val="0"/>
                <w:sz w:val="16"/>
              </w:rPr>
              <w:t>MVP/sprint backlog was converted into GitHub issues, labels, milestones, and WSL import scripts. Live issue import remains dependent on local GitHub CLI auth and repo setup.</w:t>
            </w:r>
          </w:p>
        </w:tc>
      </w:tr>
      <w:tr>
        <w:tc>
          <w:tcPr>
            <w:tcW w:type="dxa" w:w="2592"/>
            <w:vAlign w:val="top"/>
            <w:shd w:fill="FFFFFF"/>
          </w:tcPr>
          <w:p>
            <w:pPr>
              <w:spacing w:after="0"/>
            </w:pPr>
            <w:r>
              <w:rPr>
                <w:sz w:val="16"/>
              </w:rPr>
            </w:r>
            <w:r>
              <w:rPr>
                <w:b w:val="0"/>
                <w:sz w:val="16"/>
              </w:rPr>
              <w:t>CI baseline</w:t>
            </w:r>
          </w:p>
        </w:tc>
        <w:tc>
          <w:tcPr>
            <w:tcW w:type="dxa" w:w="8064"/>
            <w:vAlign w:val="top"/>
            <w:shd w:fill="FFFFFF"/>
          </w:tcPr>
          <w:p>
            <w:pPr>
              <w:spacing w:after="0"/>
            </w:pPr>
            <w:r>
              <w:rPr>
                <w:sz w:val="16"/>
              </w:rPr>
            </w:r>
            <w:r>
              <w:rPr>
                <w:b w:val="0"/>
                <w:sz w:val="16"/>
              </w:rPr>
              <w:t>A placeholder GitHub Actions pipeline now exists with formatter/linter/test placeholders, dependency inventory, and metadata gates for license/security review.</w:t>
            </w:r>
          </w:p>
        </w:tc>
      </w:tr>
      <w:tr>
        <w:tc>
          <w:tcPr>
            <w:tcW w:type="dxa" w:w="2592"/>
            <w:vAlign w:val="top"/>
            <w:shd w:fill="FFFFFF"/>
          </w:tcPr>
          <w:p>
            <w:pPr>
              <w:spacing w:after="0"/>
            </w:pPr>
            <w:r>
              <w:rPr>
                <w:sz w:val="16"/>
              </w:rPr>
            </w:r>
            <w:r>
              <w:rPr>
                <w:b w:val="0"/>
                <w:sz w:val="16"/>
              </w:rPr>
              <w:t>Course data</w:t>
            </w:r>
          </w:p>
        </w:tc>
        <w:tc>
          <w:tcPr>
            <w:tcW w:type="dxa" w:w="8064"/>
            <w:vAlign w:val="top"/>
            <w:shd w:fill="FFFFFF"/>
          </w:tcPr>
          <w:p>
            <w:pPr>
              <w:spacing w:after="0"/>
            </w:pPr>
            <w:r>
              <w:rPr>
                <w:sz w:val="16"/>
              </w:rPr>
            </w:r>
            <w:r>
              <w:rPr>
                <w:b w:val="0"/>
                <w:sz w:val="16"/>
              </w:rPr>
              <w:t>A course data-source registry now records candidate sources, license/terms risk, coverage, fields, update method, and risk notes.</w:t>
            </w:r>
          </w:p>
        </w:tc>
      </w:tr>
      <w:tr>
        <w:tc>
          <w:tcPr>
            <w:tcW w:type="dxa" w:w="2592"/>
            <w:vAlign w:val="top"/>
            <w:shd w:fill="FFFFFF"/>
          </w:tcPr>
          <w:p>
            <w:pPr>
              <w:spacing w:after="0"/>
            </w:pPr>
            <w:r>
              <w:rPr>
                <w:sz w:val="16"/>
              </w:rPr>
            </w:r>
            <w:r>
              <w:rPr>
                <w:b w:val="0"/>
                <w:sz w:val="16"/>
              </w:rPr>
              <w:t>Technical stack</w:t>
            </w:r>
          </w:p>
        </w:tc>
        <w:tc>
          <w:tcPr>
            <w:tcW w:type="dxa" w:w="8064"/>
            <w:vAlign w:val="top"/>
            <w:shd w:fill="FFFFFF"/>
          </w:tcPr>
          <w:p>
            <w:pPr>
              <w:spacing w:after="0"/>
            </w:pPr>
            <w:r>
              <w:rPr>
                <w:sz w:val="16"/>
              </w:rPr>
            </w:r>
            <w:r>
              <w:rPr>
                <w:b w:val="0"/>
                <w:sz w:val="16"/>
              </w:rPr>
              <w:t>A coherent proposed stack is documented across ADRs 0011-0022 but awaits project review before becoming binding.</w:t>
            </w:r>
          </w:p>
        </w:tc>
      </w:tr>
      <w:tr>
        <w:tc>
          <w:tcPr>
            <w:tcW w:type="dxa" w:w="2592"/>
            <w:vAlign w:val="top"/>
            <w:shd w:fill="FFFFFF"/>
          </w:tcPr>
          <w:p>
            <w:pPr>
              <w:spacing w:after="0"/>
            </w:pPr>
            <w:r>
              <w:rPr>
                <w:sz w:val="16"/>
              </w:rPr>
            </w:r>
            <w:r>
              <w:rPr>
                <w:b w:val="0"/>
                <w:sz w:val="16"/>
              </w:rPr>
              <w:t>Contributor enablement</w:t>
            </w:r>
          </w:p>
        </w:tc>
        <w:tc>
          <w:tcPr>
            <w:tcW w:type="dxa" w:w="8064"/>
            <w:vAlign w:val="top"/>
            <w:shd w:fill="FFFFFF"/>
          </w:tcPr>
          <w:p>
            <w:pPr>
              <w:spacing w:after="0"/>
            </w:pPr>
            <w:r>
              <w:rPr>
                <w:sz w:val="16"/>
              </w:rPr>
            </w:r>
            <w:r>
              <w:rPr>
                <w:b w:val="0"/>
                <w:sz w:val="16"/>
              </w:rPr>
              <w:t>The project now has enough governance artifacts to onboard developers, UX reviewers, security reviewers, license reviewers, data stewards, and sponsors.</w:t>
            </w:r>
          </w:p>
        </w:tc>
      </w:tr>
      <w:tr>
        <w:tc>
          <w:tcPr>
            <w:tcW w:type="dxa" w:w="5184"/>
            <w:shd w:fill="FFFFFF"/>
          </w:tcPr>
          <w:p>
            <w:pPr/>
            <w:r>
              <w:rPr>
                <w:sz w:val="16"/>
              </w:rPr>
              <w:t>Nostr onboarding</w:t>
            </w:r>
          </w:p>
        </w:tc>
        <w:tc>
          <w:tcPr>
            <w:tcW w:type="dxa" w:w="5184"/>
            <w:shd w:fill="FFFFFF"/>
          </w:tcPr>
          <w:p>
            <w:pPr/>
            <w:r>
              <w:rPr>
                <w:sz w:val="16"/>
              </w:rPr>
              <w:t>Added guest-first Nostr onboarding, signer-gated participation, Nostash as the recommended iOS/iPadOS Safari NIP-07 path, and a signer abstraction so the PWA is not hardcoded to one signer.</w:t>
            </w:r>
          </w:p>
        </w:tc>
      </w:tr>
    </w:tbl>
    <w:p/>
    <w:p>
      <w:pPr>
        <w:pStyle w:val="Heading1"/>
        <w:keepNext/>
      </w:pPr>
      <w:r>
        <w:t>3. Current project status snapshot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4B1D83"/>
            <w:vAlign w:val="center"/>
          </w:tcPr>
          <w:p>
            <w:pPr>
              <w:spacing w:after="0"/>
            </w:pPr>
            <w:r/>
            <w:r>
              <w:rPr>
                <w:b/>
                <w:color w:val="FFFFFF"/>
                <w:sz w:val="16"/>
              </w:rPr>
              <w:t>Workstream</w:t>
            </w:r>
          </w:p>
        </w:tc>
        <w:tc>
          <w:tcPr>
            <w:tcW w:type="dxa" w:w="1944"/>
            <w:shd w:fill="4B1D83"/>
            <w:vAlign w:val="center"/>
          </w:tcPr>
          <w:p>
            <w:pPr>
              <w:spacing w:after="0"/>
            </w:pPr>
            <w:r/>
            <w:r>
              <w:rPr>
                <w:b/>
                <w:color w:val="FFFFFF"/>
                <w:sz w:val="16"/>
              </w:rPr>
              <w:t>Status</w:t>
            </w:r>
          </w:p>
        </w:tc>
        <w:tc>
          <w:tcPr>
            <w:tcW w:type="dxa" w:w="6264"/>
            <w:shd w:fill="4B1D83"/>
            <w:vAlign w:val="center"/>
          </w:tcPr>
          <w:p>
            <w:pPr>
              <w:spacing w:after="0"/>
            </w:pPr>
            <w:r/>
            <w:r>
              <w:rPr>
                <w:b/>
                <w:color w:val="FFFFFF"/>
                <w:sz w:val="16"/>
              </w:rPr>
              <w:t>Notes</w:t>
            </w:r>
          </w:p>
        </w:tc>
      </w:tr>
      <w:tr>
        <w:tc>
          <w:tcPr>
            <w:tcW w:type="dxa" w:w="2448"/>
            <w:vAlign w:val="top"/>
          </w:tcPr>
          <w:p>
            <w:pPr>
              <w:spacing w:after="0"/>
            </w:pPr>
            <w:r/>
            <w:r>
              <w:rPr>
                <w:b w:val="0"/>
                <w:sz w:val="16"/>
              </w:rPr>
              <w:t>Product thesis</w:t>
            </w:r>
          </w:p>
        </w:tc>
        <w:tc>
          <w:tcPr>
            <w:tcW w:type="dxa" w:w="1944"/>
            <w:vAlign w:val="top"/>
          </w:tcPr>
          <w:p>
            <w:pPr>
              <w:spacing w:after="0"/>
            </w:pPr>
            <w:r/>
            <w:r>
              <w:rPr>
                <w:b w:val="0"/>
                <w:sz w:val="16"/>
              </w:rPr>
              <w:t>Stable</w:t>
            </w:r>
          </w:p>
        </w:tc>
        <w:tc>
          <w:tcPr>
            <w:tcW w:type="dxa" w:w="6264"/>
            <w:vAlign w:val="top"/>
          </w:tcPr>
          <w:p>
            <w:pPr>
              <w:spacing w:after="0"/>
            </w:pPr>
            <w:r/>
            <w:r>
              <w:rPr>
                <w:b w:val="0"/>
                <w:sz w:val="16"/>
              </w:rPr>
              <w:t>Ride or Die Scorecard is the platform; Ride or Die Cup is the first deployment.</w:t>
            </w:r>
          </w:p>
        </w:tc>
      </w:tr>
      <w:tr>
        <w:tc>
          <w:tcPr>
            <w:tcW w:type="dxa" w:w="2448"/>
            <w:vAlign w:val="top"/>
          </w:tcPr>
          <w:p>
            <w:pPr>
              <w:spacing w:after="0"/>
            </w:pPr>
            <w:r/>
            <w:r>
              <w:rPr>
                <w:b w:val="0"/>
                <w:sz w:val="16"/>
              </w:rPr>
              <w:t>Foundation document</w:t>
            </w:r>
          </w:p>
        </w:tc>
        <w:tc>
          <w:tcPr>
            <w:tcW w:type="dxa" w:w="1944"/>
            <w:vAlign w:val="top"/>
          </w:tcPr>
          <w:p>
            <w:pPr>
              <w:spacing w:after="0"/>
            </w:pPr>
            <w:r/>
            <w:r>
              <w:rPr>
                <w:b w:val="0"/>
                <w:sz w:val="16"/>
              </w:rPr>
              <w:t>Updated</w:t>
            </w:r>
          </w:p>
        </w:tc>
        <w:tc>
          <w:tcPr>
            <w:tcW w:type="dxa" w:w="6264"/>
            <w:vAlign w:val="top"/>
          </w:tcPr>
          <w:p>
            <w:pPr>
              <w:spacing w:after="0"/>
            </w:pPr>
            <w:r/>
            <w:r>
              <w:rPr>
                <w:b w:val="0"/>
                <w:sz w:val="16"/>
              </w:rPr>
              <w:t>This v0.4 replaces v0.3 as the current planning source of truth.</w:t>
            </w:r>
          </w:p>
        </w:tc>
      </w:tr>
      <w:tr>
        <w:tc>
          <w:tcPr>
            <w:tcW w:type="dxa" w:w="2448"/>
            <w:vAlign w:val="top"/>
          </w:tcPr>
          <w:p>
            <w:pPr>
              <w:spacing w:after="0"/>
            </w:pPr>
            <w:r/>
            <w:r>
              <w:rPr>
                <w:b w:val="0"/>
                <w:sz w:val="16"/>
              </w:rPr>
              <w:t>README and governance docs</w:t>
            </w:r>
          </w:p>
        </w:tc>
        <w:tc>
          <w:tcPr>
            <w:tcW w:type="dxa" w:w="1944"/>
            <w:vAlign w:val="top"/>
          </w:tcPr>
          <w:p>
            <w:pPr>
              <w:spacing w:after="0"/>
            </w:pPr>
            <w:r/>
            <w:r>
              <w:rPr>
                <w:b w:val="0"/>
                <w:sz w:val="16"/>
              </w:rPr>
              <w:t>Created</w:t>
            </w:r>
          </w:p>
        </w:tc>
        <w:tc>
          <w:tcPr>
            <w:tcW w:type="dxa" w:w="6264"/>
            <w:vAlign w:val="top"/>
          </w:tcPr>
          <w:p>
            <w:pPr>
              <w:spacing w:after="0"/>
            </w:pPr>
            <w:r/>
            <w:r>
              <w:rPr>
                <w:b w:val="0"/>
                <w:sz w:val="16"/>
              </w:rPr>
              <w:t>README, CONTRIBUTING, CODE_OF_CONDUCT, SECURITY, and SUPPORT are available.</w:t>
            </w:r>
          </w:p>
        </w:tc>
      </w:tr>
      <w:tr>
        <w:tc>
          <w:tcPr>
            <w:tcW w:type="dxa" w:w="2448"/>
            <w:vAlign w:val="top"/>
          </w:tcPr>
          <w:p>
            <w:pPr>
              <w:spacing w:after="0"/>
            </w:pPr>
            <w:r/>
            <w:r>
              <w:rPr>
                <w:b w:val="0"/>
                <w:sz w:val="16"/>
              </w:rPr>
              <w:t>Issue templates and PR template</w:t>
            </w:r>
          </w:p>
        </w:tc>
        <w:tc>
          <w:tcPr>
            <w:tcW w:type="dxa" w:w="1944"/>
            <w:vAlign w:val="top"/>
          </w:tcPr>
          <w:p>
            <w:pPr>
              <w:spacing w:after="0"/>
            </w:pPr>
            <w:r/>
            <w:r>
              <w:rPr>
                <w:b w:val="0"/>
                <w:sz w:val="16"/>
              </w:rPr>
              <w:t>Created</w:t>
            </w:r>
          </w:p>
        </w:tc>
        <w:tc>
          <w:tcPr>
            <w:tcW w:type="dxa" w:w="6264"/>
            <w:vAlign w:val="top"/>
          </w:tcPr>
          <w:p>
            <w:pPr>
              <w:spacing w:after="0"/>
            </w:pPr>
            <w:r/>
            <w:r>
              <w:rPr>
                <w:b w:val="0"/>
                <w:sz w:val="16"/>
              </w:rPr>
              <w:t>Feature, bug, security, license-review, UX-review templates and PR template exist.</w:t>
            </w:r>
          </w:p>
        </w:tc>
      </w:tr>
      <w:tr>
        <w:tc>
          <w:tcPr>
            <w:tcW w:type="dxa" w:w="2448"/>
            <w:vAlign w:val="top"/>
          </w:tcPr>
          <w:p>
            <w:pPr>
              <w:spacing w:after="0"/>
            </w:pPr>
            <w:r/>
            <w:r>
              <w:rPr>
                <w:b w:val="0"/>
                <w:sz w:val="16"/>
              </w:rPr>
              <w:t>ADR process</w:t>
            </w:r>
          </w:p>
        </w:tc>
        <w:tc>
          <w:tcPr>
            <w:tcW w:type="dxa" w:w="1944"/>
            <w:vAlign w:val="top"/>
          </w:tcPr>
          <w:p>
            <w:pPr>
              <w:spacing w:after="0"/>
            </w:pPr>
            <w:r/>
            <w:r>
              <w:rPr>
                <w:b w:val="0"/>
                <w:sz w:val="16"/>
              </w:rPr>
              <w:t>Created</w:t>
            </w:r>
          </w:p>
        </w:tc>
        <w:tc>
          <w:tcPr>
            <w:tcW w:type="dxa" w:w="6264"/>
            <w:vAlign w:val="top"/>
          </w:tcPr>
          <w:p>
            <w:pPr>
              <w:spacing w:after="0"/>
            </w:pPr>
            <w:r/>
            <w:r>
              <w:rPr>
                <w:b w:val="0"/>
                <w:sz w:val="16"/>
              </w:rPr>
              <w:t>ADR template and ADR index exist. ADRs 0001-0022 are represented.</w:t>
            </w:r>
          </w:p>
        </w:tc>
      </w:tr>
      <w:tr>
        <w:tc>
          <w:tcPr>
            <w:tcW w:type="dxa" w:w="2448"/>
            <w:vAlign w:val="top"/>
          </w:tcPr>
          <w:p>
            <w:pPr>
              <w:spacing w:after="0"/>
            </w:pPr>
            <w:r/>
            <w:r>
              <w:rPr>
                <w:b w:val="0"/>
                <w:sz w:val="16"/>
              </w:rPr>
              <w:t>ADR 0011-0022</w:t>
            </w:r>
          </w:p>
        </w:tc>
        <w:tc>
          <w:tcPr>
            <w:tcW w:type="dxa" w:w="1944"/>
            <w:vAlign w:val="top"/>
          </w:tcPr>
          <w:p>
            <w:pPr>
              <w:spacing w:after="0"/>
            </w:pPr>
            <w:r/>
            <w:r>
              <w:rPr>
                <w:b w:val="0"/>
                <w:sz w:val="16"/>
              </w:rPr>
              <w:t>Proposed</w:t>
            </w:r>
          </w:p>
        </w:tc>
        <w:tc>
          <w:tcPr>
            <w:tcW w:type="dxa" w:w="6264"/>
            <w:vAlign w:val="top"/>
          </w:tcPr>
          <w:p>
            <w:pPr>
              <w:spacing w:after="0"/>
            </w:pPr>
            <w:r/>
            <w:r>
              <w:rPr>
                <w:b w:val="0"/>
                <w:sz w:val="16"/>
              </w:rPr>
              <w:t>Draft stack and architecture decisions imported as Proposed for team review.</w:t>
            </w:r>
          </w:p>
        </w:tc>
      </w:tr>
      <w:tr>
        <w:tc>
          <w:tcPr>
            <w:tcW w:type="dxa" w:w="2448"/>
            <w:vAlign w:val="top"/>
          </w:tcPr>
          <w:p>
            <w:pPr>
              <w:spacing w:after="0"/>
            </w:pPr>
            <w:r/>
            <w:r>
              <w:rPr>
                <w:b w:val="0"/>
                <w:sz w:val="16"/>
              </w:rPr>
              <w:t>Score attestation</w:t>
            </w:r>
          </w:p>
        </w:tc>
        <w:tc>
          <w:tcPr>
            <w:tcW w:type="dxa" w:w="1944"/>
            <w:vAlign w:val="top"/>
          </w:tcPr>
          <w:p>
            <w:pPr>
              <w:spacing w:after="0"/>
            </w:pPr>
            <w:r/>
            <w:r>
              <w:rPr>
                <w:b w:val="0"/>
                <w:sz w:val="16"/>
              </w:rPr>
              <w:t>Corrected</w:t>
            </w:r>
          </w:p>
        </w:tc>
        <w:tc>
          <w:tcPr>
            <w:tcW w:type="dxa" w:w="6264"/>
            <w:vAlign w:val="top"/>
          </w:tcPr>
          <w:p>
            <w:pPr>
              <w:spacing w:after="0"/>
            </w:pPr>
            <w:r/>
            <w:r>
              <w:rPr>
                <w:b w:val="0"/>
                <w:sz w:val="16"/>
              </w:rPr>
              <w:t>ADR 0006 reflects validity attestations and timestamp anchoring as separate mechanisms.</w:t>
            </w:r>
          </w:p>
        </w:tc>
      </w:tr>
      <w:tr>
        <w:tc>
          <w:tcPr>
            <w:tcW w:type="dxa" w:w="2448"/>
            <w:vAlign w:val="top"/>
          </w:tcPr>
          <w:p>
            <w:pPr>
              <w:spacing w:after="0"/>
            </w:pPr>
            <w:r/>
            <w:r>
              <w:rPr>
                <w:b w:val="0"/>
                <w:sz w:val="16"/>
              </w:rPr>
              <w:t>Course data registry</w:t>
            </w:r>
          </w:p>
        </w:tc>
        <w:tc>
          <w:tcPr>
            <w:tcW w:type="dxa" w:w="1944"/>
            <w:vAlign w:val="top"/>
          </w:tcPr>
          <w:p>
            <w:pPr>
              <w:spacing w:after="0"/>
            </w:pPr>
            <w:r/>
            <w:r>
              <w:rPr>
                <w:b w:val="0"/>
                <w:sz w:val="16"/>
              </w:rPr>
              <w:t>Created</w:t>
            </w:r>
          </w:p>
        </w:tc>
        <w:tc>
          <w:tcPr>
            <w:tcW w:type="dxa" w:w="6264"/>
            <w:vAlign w:val="top"/>
          </w:tcPr>
          <w:p>
            <w:pPr>
              <w:spacing w:after="0"/>
            </w:pPr>
            <w:r/>
            <w:r>
              <w:rPr>
                <w:b w:val="0"/>
                <w:sz w:val="16"/>
              </w:rPr>
              <w:t>OpenGolfAPI, OSM, OSM-derived sources, Open Course Data Model, and candidate global sources captured.</w:t>
            </w:r>
          </w:p>
        </w:tc>
      </w:tr>
      <w:tr>
        <w:tc>
          <w:tcPr>
            <w:tcW w:type="dxa" w:w="2448"/>
            <w:vAlign w:val="top"/>
          </w:tcPr>
          <w:p>
            <w:pPr>
              <w:spacing w:after="0"/>
            </w:pPr>
            <w:r/>
            <w:r>
              <w:rPr>
                <w:b w:val="0"/>
                <w:sz w:val="16"/>
              </w:rPr>
              <w:t>CI pipeline</w:t>
            </w:r>
          </w:p>
        </w:tc>
        <w:tc>
          <w:tcPr>
            <w:tcW w:type="dxa" w:w="1944"/>
            <w:vAlign w:val="top"/>
          </w:tcPr>
          <w:p>
            <w:pPr>
              <w:spacing w:after="0"/>
            </w:pPr>
            <w:r/>
            <w:r>
              <w:rPr>
                <w:b w:val="0"/>
                <w:sz w:val="16"/>
              </w:rPr>
              <w:t>Placeholder created</w:t>
            </w:r>
          </w:p>
        </w:tc>
        <w:tc>
          <w:tcPr>
            <w:tcW w:type="dxa" w:w="6264"/>
            <w:vAlign w:val="top"/>
          </w:tcPr>
          <w:p>
            <w:pPr>
              <w:spacing w:after="0"/>
            </w:pPr>
            <w:r/>
            <w:r>
              <w:rPr>
                <w:b w:val="0"/>
                <w:sz w:val="16"/>
              </w:rPr>
              <w:t>CI exists but formatter/linter/test commands must be replaced when the app stack is initialized.</w:t>
            </w:r>
          </w:p>
        </w:tc>
      </w:tr>
      <w:tr>
        <w:tc>
          <w:tcPr>
            <w:tcW w:type="dxa" w:w="2448"/>
            <w:vAlign w:val="top"/>
          </w:tcPr>
          <w:p>
            <w:pPr>
              <w:spacing w:after="0"/>
            </w:pPr>
            <w:r/>
            <w:r>
              <w:rPr>
                <w:b w:val="0"/>
                <w:sz w:val="16"/>
              </w:rPr>
              <w:t>Git issue backlog</w:t>
            </w:r>
          </w:p>
        </w:tc>
        <w:tc>
          <w:tcPr>
            <w:tcW w:type="dxa" w:w="1944"/>
            <w:vAlign w:val="top"/>
          </w:tcPr>
          <w:p>
            <w:pPr>
              <w:spacing w:after="0"/>
            </w:pPr>
            <w:r/>
            <w:r>
              <w:rPr>
                <w:b w:val="0"/>
                <w:sz w:val="16"/>
              </w:rPr>
              <w:t>Generated</w:t>
            </w:r>
          </w:p>
        </w:tc>
        <w:tc>
          <w:tcPr>
            <w:tcW w:type="dxa" w:w="6264"/>
            <w:vAlign w:val="top"/>
          </w:tcPr>
          <w:p>
            <w:pPr>
              <w:spacing w:after="0"/>
            </w:pPr>
            <w:r/>
            <w:r>
              <w:rPr>
                <w:b w:val="0"/>
                <w:sz w:val="16"/>
              </w:rPr>
              <w:t>40 issue backlog and WSL import scripts exist; live repo import is not confirmed by this document.</w:t>
            </w:r>
          </w:p>
        </w:tc>
      </w:tr>
      <w:tr>
        <w:tc>
          <w:tcPr>
            <w:tcW w:type="dxa" w:w="2448"/>
            <w:vAlign w:val="top"/>
          </w:tcPr>
          <w:p>
            <w:pPr>
              <w:spacing w:after="0"/>
            </w:pPr>
            <w:r/>
            <w:r>
              <w:rPr>
                <w:b w:val="0"/>
                <w:sz w:val="16"/>
              </w:rPr>
              <w:t>Implementation codebase</w:t>
            </w:r>
          </w:p>
        </w:tc>
        <w:tc>
          <w:tcPr>
            <w:tcW w:type="dxa" w:w="1944"/>
            <w:vAlign w:val="top"/>
          </w:tcPr>
          <w:p>
            <w:pPr>
              <w:spacing w:after="0"/>
            </w:pPr>
            <w:r/>
            <w:r>
              <w:rPr>
                <w:b w:val="0"/>
                <w:sz w:val="16"/>
              </w:rPr>
              <w:t>Not confirmed</w:t>
            </w:r>
          </w:p>
        </w:tc>
        <w:tc>
          <w:tcPr>
            <w:tcW w:type="dxa" w:w="6264"/>
            <w:vAlign w:val="top"/>
          </w:tcPr>
          <w:p>
            <w:pPr>
              <w:spacing w:after="0"/>
            </w:pPr>
            <w:r/>
            <w:r>
              <w:rPr>
                <w:b w:val="0"/>
                <w:sz w:val="16"/>
              </w:rPr>
              <w:t>The foundation is ready for implementation, but the app codebase itself is not assumed to exist here.</w:t>
            </w:r>
          </w:p>
        </w:tc>
      </w:tr>
    </w:tbl>
    <w:p/>
    <w:tbl>
      <w:tblPr>
        <w:tblStyle w:val="TableGrid"/>
        <w:tblW w:type="auto" w:w="0"/>
        <w:tblLook w:firstColumn="1" w:firstRow="1" w:lastColumn="0" w:lastRow="0" w:noHBand="0" w:noVBand="1" w:val="04A0"/>
      </w:tblPr>
      <w:tblGrid>
        <w:gridCol w:w="10368"/>
      </w:tblGrid>
      <w:tr>
        <w:tc>
          <w:tcPr>
            <w:tcW w:type="dxa" w:w="10368"/>
            <w:shd w:fill="F3F4F6"/>
          </w:tcPr>
          <w:p>
            <w:pPr>
              <w:spacing w:after="60"/>
            </w:pPr>
            <w:r>
              <w:rPr>
                <w:b/>
                <w:color w:val="1F1F2E"/>
                <w:sz w:val="21"/>
              </w:rPr>
              <w:t>Interpretation</w:t>
            </w:r>
          </w:p>
          <w:p>
            <w:pPr>
              <w:spacing w:after="0"/>
            </w:pPr>
            <w:r>
              <w:rPr>
                <w:sz w:val="19"/>
              </w:rPr>
              <w:t>The project is no longer a blank idea. It now has an executable planning system. The next mistake to avoid is treating generated Proposed ADRs as final without team review.</w:t>
            </w:r>
          </w:p>
        </w:tc>
        <w:trPr>
          <w:tblHeader/>
        </w:trPr>
      </w:tr>
    </w:tbl>
    <w:p/>
    <w:p>
      <w:pPr>
        <w:pStyle w:val="Heading1"/>
        <w:keepNext/>
      </w:pPr>
      <w:r>
        <w:t>4. Vision, mission, and strategic objectives</w:t>
      </w:r>
    </w:p>
    <w:p>
      <w:pPr>
        <w:pStyle w:val="Heading2"/>
        <w:keepNext/>
      </w:pPr>
      <w:r>
        <w:t>Vision</w:t>
      </w:r>
    </w:p>
    <w:p>
      <w:r>
        <w:rPr>
          <w:sz w:val="18"/>
        </w:rPr>
        <w:t>Create the first Nostr-native, Bitcoin-powered golf scoring and event platform: open-source, self-hostable, community-governed, and designed for real tournament operations.</w:t>
      </w:r>
    </w:p>
    <w:p>
      <w:pPr>
        <w:pStyle w:val="Heading2"/>
        <w:keepNext/>
      </w:pPr>
      <w:r>
        <w:t>Mission</w:t>
      </w:r>
    </w:p>
    <w:p>
      <w:r>
        <w:rPr>
          <w:sz w:val="18"/>
        </w:rPr>
        <w:t>Deliver a working platform for the Ride or Die Cup that handles registration, roles, course data, payments, score entry, attestations, live standings, and post-event archiving. Use that deployment to validate a reusable foundation for future sporting events.</w:t>
      </w:r>
    </w:p>
    <w:p>
      <w:pPr>
        <w:pStyle w:val="Heading2"/>
        <w:keepNext/>
      </w:pPr>
      <w:r>
        <w:t>Strategic objectives</w:t>
      </w:r>
    </w:p>
    <w:p>
      <w:pPr>
        <w:pStyle w:val="ListBullet"/>
        <w:spacing w:after="40"/>
      </w:pPr>
      <w:r>
        <w:t>Run the Ride or Die Cup with a functioning MVP rather than scattered spreadsheets, chats, and manual payment reconciliation.</w:t>
      </w:r>
    </w:p>
    <w:p>
      <w:pPr>
        <w:pStyle w:val="ListBullet"/>
        <w:spacing w:after="40"/>
      </w:pPr>
      <w:r>
        <w:t>Use Nostr public keys as the primary identity anchor and avoid conventional platform-owned accounts for core flows.</w:t>
      </w:r>
    </w:p>
    <w:p>
      <w:pPr>
        <w:pStyle w:val="ListBullet"/>
        <w:spacing w:after="40"/>
      </w:pPr>
      <w:r>
        <w:t>Accept tournament fees and contributions in Bitcoin only, with Lightning as the preferred user experience.</w:t>
      </w:r>
    </w:p>
    <w:p>
      <w:pPr>
        <w:pStyle w:val="ListBullet"/>
        <w:spacing w:after="40"/>
      </w:pPr>
      <w:r>
        <w:t>Keep payments non-custodial: the app coordinates payments and records status but never holds user seed phrases, raw private keys, or funds.</w:t>
      </w:r>
    </w:p>
    <w:p>
      <w:pPr>
        <w:pStyle w:val="ListBullet"/>
        <w:spacing w:after="40"/>
      </w:pPr>
      <w:r>
        <w:t>Support scorekeepers and markers as official operating roles so tournament scoring remains reliable even when players do not use the app.</w:t>
      </w:r>
    </w:p>
    <w:p>
      <w:pPr>
        <w:pStyle w:val="ListBullet"/>
        <w:spacing w:after="40"/>
      </w:pPr>
      <w:r>
        <w:t>Build with open-source components and documented license review gates.</w:t>
      </w:r>
    </w:p>
    <w:p>
      <w:pPr>
        <w:pStyle w:val="ListBullet"/>
        <w:spacing w:after="40"/>
      </w:pPr>
      <w:r>
        <w:t>Turn course data into a moderated, provenance-aware, community-enriched layer.</w:t>
      </w:r>
    </w:p>
    <w:p>
      <w:pPr>
        <w:pStyle w:val="ListBullet"/>
        <w:spacing w:after="40"/>
      </w:pPr>
      <w:r>
        <w:t>Create a credible public repository that contributors and sponsors can understand quickly.</w:t>
      </w:r>
    </w:p>
    <w:p>
      <w:pPr>
        <w:pStyle w:val="Heading2"/>
        <w:keepNext/>
      </w:pPr>
      <w:r>
        <w:t>Success criteria for first deployment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4B1D83"/>
            <w:vAlign w:val="center"/>
          </w:tcPr>
          <w:p>
            <w:pPr>
              <w:spacing w:after="0"/>
            </w:pPr>
            <w:r/>
            <w:r>
              <w:rPr>
                <w:b/>
                <w:color w:val="FFFFFF"/>
                <w:sz w:val="17"/>
              </w:rPr>
              <w:t>Area</w:t>
            </w:r>
          </w:p>
        </w:tc>
        <w:tc>
          <w:tcPr>
            <w:tcW w:type="dxa" w:w="8064"/>
            <w:shd w:fill="4B1D83"/>
            <w:vAlign w:val="center"/>
          </w:tcPr>
          <w:p>
            <w:pPr>
              <w:spacing w:after="0"/>
            </w:pPr>
            <w:r/>
            <w:r>
              <w:rPr>
                <w:b/>
                <w:color w:val="FFFFFF"/>
                <w:sz w:val="17"/>
              </w:rPr>
              <w:t>Success measure</w:t>
            </w:r>
          </w:p>
        </w:tc>
      </w:tr>
      <w:tr>
        <w:tc>
          <w:tcPr>
            <w:tcW w:type="dxa" w:w="2592"/>
            <w:vAlign w:val="top"/>
          </w:tcPr>
          <w:p>
            <w:pPr>
              <w:spacing w:after="0"/>
            </w:pPr>
            <w:r/>
            <w:r>
              <w:rPr>
                <w:b w:val="0"/>
                <w:sz w:val="17"/>
              </w:rPr>
              <w:t>Tournament operations</w:t>
            </w:r>
          </w:p>
        </w:tc>
        <w:tc>
          <w:tcPr>
            <w:tcW w:type="dxa" w:w="8064"/>
            <w:vAlign w:val="top"/>
          </w:tcPr>
          <w:p>
            <w:pPr>
              <w:spacing w:after="0"/>
            </w:pPr>
            <w:r/>
            <w:r>
              <w:rPr>
                <w:b w:val="0"/>
                <w:sz w:val="17"/>
              </w:rPr>
              <w:t>Teams, players, scorekeepers, markers, and organizers can complete the event without reverting to the old manual process.</w:t>
            </w:r>
          </w:p>
        </w:tc>
      </w:tr>
      <w:tr>
        <w:tc>
          <w:tcPr>
            <w:tcW w:type="dxa" w:w="2592"/>
            <w:vAlign w:val="top"/>
          </w:tcPr>
          <w:p>
            <w:pPr>
              <w:spacing w:after="0"/>
            </w:pPr>
            <w:r/>
            <w:r>
              <w:rPr>
                <w:b w:val="0"/>
                <w:sz w:val="17"/>
              </w:rPr>
              <w:t>Identity</w:t>
            </w:r>
          </w:p>
        </w:tc>
        <w:tc>
          <w:tcPr>
            <w:tcW w:type="dxa" w:w="8064"/>
            <w:vAlign w:val="top"/>
          </w:tcPr>
          <w:p>
            <w:pPr>
              <w:spacing w:after="0"/>
            </w:pPr>
            <w:r/>
            <w:r>
              <w:rPr>
                <w:b w:val="0"/>
                <w:sz w:val="17"/>
              </w:rPr>
              <w:t>Registered participants can be associated with Nostr public keys, with fallback handling for manually registered players.</w:t>
            </w:r>
          </w:p>
        </w:tc>
      </w:tr>
      <w:tr>
        <w:tc>
          <w:tcPr>
            <w:tcW w:type="dxa" w:w="2592"/>
            <w:vAlign w:val="top"/>
          </w:tcPr>
          <w:p>
            <w:pPr>
              <w:spacing w:after="0"/>
            </w:pPr>
            <w:r/>
            <w:r>
              <w:rPr>
                <w:b w:val="0"/>
                <w:sz w:val="17"/>
              </w:rPr>
              <w:t>Payments</w:t>
            </w:r>
          </w:p>
        </w:tc>
        <w:tc>
          <w:tcPr>
            <w:tcW w:type="dxa" w:w="8064"/>
            <w:vAlign w:val="top"/>
          </w:tcPr>
          <w:p>
            <w:pPr>
              <w:spacing w:after="0"/>
            </w:pPr>
            <w:r/>
            <w:r>
              <w:rPr>
                <w:b w:val="0"/>
                <w:sz w:val="17"/>
              </w:rPr>
              <w:t>Fees and contributions are recorded with Bitcoin/Lightning confirmation status and clear reconciliation.</w:t>
            </w:r>
          </w:p>
        </w:tc>
      </w:tr>
      <w:tr>
        <w:tc>
          <w:tcPr>
            <w:tcW w:type="dxa" w:w="2592"/>
            <w:vAlign w:val="top"/>
          </w:tcPr>
          <w:p>
            <w:pPr>
              <w:spacing w:after="0"/>
            </w:pPr>
            <w:r/>
            <w:r>
              <w:rPr>
                <w:b w:val="0"/>
                <w:sz w:val="17"/>
              </w:rPr>
              <w:t>Scoring</w:t>
            </w:r>
          </w:p>
        </w:tc>
        <w:tc>
          <w:tcPr>
            <w:tcW w:type="dxa" w:w="8064"/>
            <w:vAlign w:val="top"/>
          </w:tcPr>
          <w:p>
            <w:pPr>
              <w:spacing w:after="0"/>
            </w:pPr>
            <w:r/>
            <w:r>
              <w:rPr>
                <w:b w:val="0"/>
                <w:sz w:val="17"/>
              </w:rPr>
              <w:t>Official scorekeepers or markers can enter/attest scores, and standings update with minimal delay.</w:t>
            </w:r>
          </w:p>
        </w:tc>
      </w:tr>
      <w:tr>
        <w:tc>
          <w:tcPr>
            <w:tcW w:type="dxa" w:w="2592"/>
            <w:vAlign w:val="top"/>
          </w:tcPr>
          <w:p>
            <w:pPr>
              <w:spacing w:after="0"/>
            </w:pPr>
            <w:r/>
            <w:r>
              <w:rPr>
                <w:b w:val="0"/>
                <w:sz w:val="17"/>
              </w:rPr>
              <w:t>Open source</w:t>
            </w:r>
          </w:p>
        </w:tc>
        <w:tc>
          <w:tcPr>
            <w:tcW w:type="dxa" w:w="8064"/>
            <w:vAlign w:val="top"/>
          </w:tcPr>
          <w:p>
            <w:pPr>
              <w:spacing w:after="0"/>
            </w:pPr>
            <w:r/>
            <w:r>
              <w:rPr>
                <w:b w:val="0"/>
                <w:sz w:val="17"/>
              </w:rPr>
              <w:t>Repository has governance docs, issue templates, PR template, ADRs, license/security review gates, and CI baseline.</w:t>
            </w:r>
          </w:p>
        </w:tc>
      </w:tr>
      <w:tr>
        <w:tc>
          <w:tcPr>
            <w:tcW w:type="dxa" w:w="2592"/>
            <w:vAlign w:val="top"/>
          </w:tcPr>
          <w:p>
            <w:pPr>
              <w:spacing w:after="0"/>
            </w:pPr>
            <w:r/>
            <w:r>
              <w:rPr>
                <w:b w:val="0"/>
                <w:sz w:val="17"/>
              </w:rPr>
              <w:t>Data</w:t>
            </w:r>
          </w:p>
        </w:tc>
        <w:tc>
          <w:tcPr>
            <w:tcW w:type="dxa" w:w="8064"/>
            <w:vAlign w:val="top"/>
          </w:tcPr>
          <w:p>
            <w:pPr>
              <w:spacing w:after="0"/>
            </w:pPr>
            <w:r/>
            <w:r>
              <w:rPr>
                <w:b w:val="0"/>
                <w:sz w:val="17"/>
              </w:rPr>
              <w:t>Course data can be imported or manually entered with source provenance and license status.</w:t>
            </w:r>
          </w:p>
        </w:tc>
      </w:tr>
      <w:tr>
        <w:tc>
          <w:tcPr>
            <w:tcW w:type="dxa" w:w="2592"/>
            <w:vAlign w:val="top"/>
          </w:tcPr>
          <w:p>
            <w:pPr>
              <w:spacing w:after="0"/>
            </w:pPr>
            <w:r/>
            <w:r>
              <w:rPr>
                <w:b w:val="0"/>
                <w:sz w:val="17"/>
              </w:rPr>
              <w:t>Sponsorship</w:t>
            </w:r>
          </w:p>
        </w:tc>
        <w:tc>
          <w:tcPr>
            <w:tcW w:type="dxa" w:w="8064"/>
            <w:vAlign w:val="top"/>
          </w:tcPr>
          <w:p>
            <w:pPr>
              <w:spacing w:after="0"/>
            </w:pPr>
            <w:r/>
            <w:r>
              <w:rPr>
                <w:b w:val="0"/>
                <w:sz w:val="17"/>
              </w:rPr>
              <w:t>Sponsor packages map to infrastructure, wallet testing, bounties, prizes, media, and course-data enrichment without sponsor lock-in.</w:t>
            </w:r>
          </w:p>
        </w:tc>
      </w:tr>
    </w:tbl>
    <w:p/>
    <w:p>
      <w:pPr>
        <w:pStyle w:val="Heading1"/>
        <w:keepNext/>
      </w:pPr>
      <w:r>
        <w:t>5. Governance model and repository assets</w:t>
      </w:r>
    </w:p>
    <w:p>
      <w:r>
        <w:rPr>
          <w:sz w:val="18"/>
        </w:rPr>
        <w:t>The governance model is now more concrete than in v0.3. The project has generated the repository artifacts needed to welcome contributors while protecting security, license compatibility, and architectural coherence.</w:t>
      </w:r>
    </w:p>
    <w:p>
      <w:pPr>
        <w:pStyle w:val="Heading2"/>
        <w:keepNext/>
      </w:pPr>
      <w:r>
        <w:t>Guiding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4B1D83"/>
            <w:vAlign w:val="center"/>
          </w:tcPr>
          <w:p>
            <w:pPr>
              <w:spacing w:after="0"/>
            </w:pPr>
            <w:r/>
            <w:r>
              <w:rPr>
                <w:b/>
                <w:color w:val="FFFFFF"/>
                <w:sz w:val="16"/>
              </w:rPr>
              <w:t>Principle</w:t>
            </w:r>
          </w:p>
        </w:tc>
        <w:tc>
          <w:tcPr>
            <w:tcW w:type="dxa" w:w="8208"/>
            <w:shd w:fill="4B1D83"/>
            <w:vAlign w:val="center"/>
          </w:tcPr>
          <w:p>
            <w:pPr>
              <w:spacing w:after="0"/>
            </w:pPr>
            <w:r/>
            <w:r>
              <w:rPr>
                <w:b/>
                <w:color w:val="FFFFFF"/>
                <w:sz w:val="16"/>
              </w:rPr>
              <w:t>Implication</w:t>
            </w:r>
          </w:p>
        </w:tc>
      </w:tr>
      <w:tr>
        <w:tc>
          <w:tcPr>
            <w:tcW w:type="dxa" w:w="2448"/>
            <w:vAlign w:val="top"/>
          </w:tcPr>
          <w:p>
            <w:pPr>
              <w:spacing w:after="0"/>
            </w:pPr>
            <w:r/>
            <w:r>
              <w:rPr>
                <w:b w:val="0"/>
                <w:sz w:val="16"/>
              </w:rPr>
              <w:t>Open source first</w:t>
            </w:r>
          </w:p>
        </w:tc>
        <w:tc>
          <w:tcPr>
            <w:tcW w:type="dxa" w:w="8208"/>
            <w:vAlign w:val="top"/>
          </w:tcPr>
          <w:p>
            <w:pPr>
              <w:spacing w:after="0"/>
            </w:pPr>
            <w:r/>
            <w:r>
              <w:rPr>
                <w:b w:val="0"/>
                <w:sz w:val="16"/>
              </w:rPr>
              <w:t>Core runtime dependencies, app code, infrastructure scripts, and documentation should be open source. Exceptions require review and an adapter/fallback.</w:t>
            </w:r>
          </w:p>
        </w:tc>
      </w:tr>
      <w:tr>
        <w:tc>
          <w:tcPr>
            <w:tcW w:type="dxa" w:w="2448"/>
            <w:vAlign w:val="top"/>
          </w:tcPr>
          <w:p>
            <w:pPr>
              <w:spacing w:after="0"/>
            </w:pPr>
            <w:r/>
            <w:r>
              <w:rPr>
                <w:b w:val="0"/>
                <w:sz w:val="16"/>
              </w:rPr>
              <w:t>Bitcoin only</w:t>
            </w:r>
          </w:p>
        </w:tc>
        <w:tc>
          <w:tcPr>
            <w:tcW w:type="dxa" w:w="8208"/>
            <w:vAlign w:val="top"/>
          </w:tcPr>
          <w:p>
            <w:pPr>
              <w:spacing w:after="0"/>
            </w:pPr>
            <w:r/>
            <w:r>
              <w:rPr>
                <w:b w:val="0"/>
                <w:sz w:val="16"/>
              </w:rPr>
              <w:t>Payments, contributions, rewards, and fee flows use Bitcoin. Lightning is preferred for UX.</w:t>
            </w:r>
          </w:p>
        </w:tc>
      </w:tr>
      <w:tr>
        <w:tc>
          <w:tcPr>
            <w:tcW w:type="dxa" w:w="2448"/>
            <w:vAlign w:val="top"/>
          </w:tcPr>
          <w:p>
            <w:pPr>
              <w:spacing w:after="0"/>
            </w:pPr>
            <w:r/>
            <w:r>
              <w:rPr>
                <w:b w:val="0"/>
                <w:sz w:val="16"/>
              </w:rPr>
              <w:t>Nostr native</w:t>
            </w:r>
          </w:p>
        </w:tc>
        <w:tc>
          <w:tcPr>
            <w:tcW w:type="dxa" w:w="8208"/>
            <w:vAlign w:val="top"/>
          </w:tcPr>
          <w:p>
            <w:pPr>
              <w:spacing w:after="0"/>
            </w:pPr>
            <w:r/>
            <w:r>
              <w:rPr>
                <w:b w:val="0"/>
                <w:sz w:val="16"/>
              </w:rPr>
              <w:t>Nostr identity and signed events are first-class architecture, not afterthoughts.</w:t>
            </w:r>
          </w:p>
        </w:tc>
      </w:tr>
      <w:tr>
        <w:tc>
          <w:tcPr>
            <w:tcW w:type="dxa" w:w="2448"/>
            <w:vAlign w:val="top"/>
          </w:tcPr>
          <w:p>
            <w:pPr>
              <w:spacing w:after="0"/>
            </w:pPr>
            <w:r/>
            <w:r>
              <w:rPr>
                <w:b w:val="0"/>
                <w:sz w:val="16"/>
              </w:rPr>
              <w:t>Operational realism</w:t>
            </w:r>
          </w:p>
        </w:tc>
        <w:tc>
          <w:tcPr>
            <w:tcW w:type="dxa" w:w="8208"/>
            <w:vAlign w:val="top"/>
          </w:tcPr>
          <w:p>
            <w:pPr>
              <w:spacing w:after="0"/>
            </w:pPr>
            <w:r/>
            <w:r>
              <w:rPr>
                <w:b w:val="0"/>
                <w:sz w:val="16"/>
              </w:rPr>
              <w:t>The tournament must work even if not every player installs or uses the app.</w:t>
            </w:r>
          </w:p>
        </w:tc>
      </w:tr>
      <w:tr>
        <w:tc>
          <w:tcPr>
            <w:tcW w:type="dxa" w:w="2448"/>
            <w:vAlign w:val="top"/>
          </w:tcPr>
          <w:p>
            <w:pPr>
              <w:spacing w:after="0"/>
            </w:pPr>
            <w:r/>
            <w:r>
              <w:rPr>
                <w:b w:val="0"/>
                <w:sz w:val="16"/>
              </w:rPr>
              <w:t>Non-custodial by design</w:t>
            </w:r>
          </w:p>
        </w:tc>
        <w:tc>
          <w:tcPr>
            <w:tcW w:type="dxa" w:w="8208"/>
            <w:vAlign w:val="top"/>
          </w:tcPr>
          <w:p>
            <w:pPr>
              <w:spacing w:after="0"/>
            </w:pPr>
            <w:r/>
            <w:r>
              <w:rPr>
                <w:b w:val="0"/>
                <w:sz w:val="16"/>
              </w:rPr>
              <w:t>The app coordinates payment intent/status but does not hold user funds or secrets.</w:t>
            </w:r>
          </w:p>
        </w:tc>
      </w:tr>
      <w:tr>
        <w:tc>
          <w:tcPr>
            <w:tcW w:type="dxa" w:w="2448"/>
            <w:vAlign w:val="top"/>
          </w:tcPr>
          <w:p>
            <w:pPr>
              <w:spacing w:after="0"/>
            </w:pPr>
            <w:r/>
            <w:r>
              <w:rPr>
                <w:b w:val="0"/>
                <w:sz w:val="16"/>
              </w:rPr>
              <w:t>Privacy by design</w:t>
            </w:r>
          </w:p>
        </w:tc>
        <w:tc>
          <w:tcPr>
            <w:tcW w:type="dxa" w:w="8208"/>
            <w:vAlign w:val="top"/>
          </w:tcPr>
          <w:p>
            <w:pPr>
              <w:spacing w:after="0"/>
            </w:pPr>
            <w:r/>
            <w:r>
              <w:rPr>
                <w:b w:val="0"/>
                <w:sz w:val="16"/>
              </w:rPr>
              <w:t>Collect only what is needed for event operations; publish only intentional public data.</w:t>
            </w:r>
          </w:p>
        </w:tc>
      </w:tr>
      <w:tr>
        <w:tc>
          <w:tcPr>
            <w:tcW w:type="dxa" w:w="2448"/>
            <w:vAlign w:val="top"/>
          </w:tcPr>
          <w:p>
            <w:pPr>
              <w:spacing w:after="0"/>
            </w:pPr>
            <w:r/>
            <w:r>
              <w:rPr>
                <w:b w:val="0"/>
                <w:sz w:val="16"/>
              </w:rPr>
              <w:t>Accessibility by default</w:t>
            </w:r>
          </w:p>
        </w:tc>
        <w:tc>
          <w:tcPr>
            <w:tcW w:type="dxa" w:w="8208"/>
            <w:vAlign w:val="top"/>
          </w:tcPr>
          <w:p>
            <w:pPr>
              <w:spacing w:after="0"/>
            </w:pPr>
            <w:r/>
            <w:r>
              <w:rPr>
                <w:b w:val="0"/>
                <w:sz w:val="16"/>
              </w:rPr>
              <w:t>PWA flows must be keyboard, screen-reader, contrast, and mobile friendly.</w:t>
            </w:r>
          </w:p>
        </w:tc>
      </w:tr>
      <w:tr>
        <w:tc>
          <w:tcPr>
            <w:tcW w:type="dxa" w:w="2448"/>
            <w:vAlign w:val="top"/>
          </w:tcPr>
          <w:p>
            <w:pPr>
              <w:spacing w:after="0"/>
            </w:pPr>
            <w:r/>
            <w:r>
              <w:rPr>
                <w:b w:val="0"/>
                <w:sz w:val="16"/>
              </w:rPr>
              <w:t>Contributor friendliness</w:t>
            </w:r>
          </w:p>
        </w:tc>
        <w:tc>
          <w:tcPr>
            <w:tcW w:type="dxa" w:w="8208"/>
            <w:vAlign w:val="top"/>
          </w:tcPr>
          <w:p>
            <w:pPr>
              <w:spacing w:after="0"/>
            </w:pPr>
            <w:r/>
            <w:r>
              <w:rPr>
                <w:b w:val="0"/>
                <w:sz w:val="16"/>
              </w:rPr>
              <w:t>Issues, templates, ADRs, CI, docs, and review gates should make contribution predictable.</w:t>
            </w:r>
          </w:p>
        </w:tc>
      </w:tr>
    </w:tbl>
    <w:p/>
    <w:p>
      <w:pPr>
        <w:pStyle w:val="Heading2"/>
        <w:keepNext/>
      </w:pPr>
      <w:r>
        <w:t>Repository assets now available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384"/>
            <w:shd w:fill="4B1D83"/>
            <w:vAlign w:val="center"/>
          </w:tcPr>
          <w:p>
            <w:pPr>
              <w:spacing w:after="0"/>
            </w:pPr>
            <w:r/>
            <w:r>
              <w:rPr>
                <w:b/>
                <w:color w:val="FFFFFF"/>
                <w:sz w:val="16"/>
              </w:rPr>
              <w:t>Asset</w:t>
            </w:r>
          </w:p>
        </w:tc>
        <w:tc>
          <w:tcPr>
            <w:tcW w:type="dxa" w:w="7272"/>
            <w:shd w:fill="4B1D83"/>
            <w:vAlign w:val="center"/>
          </w:tcPr>
          <w:p>
            <w:pPr>
              <w:spacing w:after="0"/>
            </w:pPr>
            <w:r/>
            <w:r>
              <w:rPr>
                <w:b/>
                <w:color w:val="FFFFFF"/>
                <w:sz w:val="16"/>
              </w:rPr>
              <w:t>Purpose</w:t>
            </w:r>
          </w:p>
        </w:tc>
      </w:tr>
      <w:tr>
        <w:tc>
          <w:tcPr>
            <w:tcW w:type="dxa" w:w="3384"/>
            <w:vAlign w:val="top"/>
          </w:tcPr>
          <w:p>
            <w:pPr>
              <w:spacing w:after="0"/>
            </w:pPr>
            <w:r/>
            <w:r>
              <w:rPr>
                <w:b w:val="0"/>
                <w:sz w:val="16"/>
              </w:rPr>
              <w:t>README.md</w:t>
            </w:r>
          </w:p>
        </w:tc>
        <w:tc>
          <w:tcPr>
            <w:tcW w:type="dxa" w:w="7272"/>
            <w:vAlign w:val="top"/>
          </w:tcPr>
          <w:p>
            <w:pPr>
              <w:spacing w:after="0"/>
            </w:pPr>
            <w:r/>
            <w:r>
              <w:rPr>
                <w:b w:val="0"/>
                <w:sz w:val="16"/>
              </w:rPr>
              <w:t>Project thesis, MVP definition, technical direction, sprint direction, and contribution overview.</w:t>
            </w:r>
          </w:p>
        </w:tc>
      </w:tr>
      <w:tr>
        <w:tc>
          <w:tcPr>
            <w:tcW w:type="dxa" w:w="3384"/>
            <w:vAlign w:val="top"/>
          </w:tcPr>
          <w:p>
            <w:pPr>
              <w:spacing w:after="0"/>
            </w:pPr>
            <w:r/>
            <w:r>
              <w:rPr>
                <w:b w:val="0"/>
                <w:sz w:val="16"/>
              </w:rPr>
              <w:t>CONTRIBUTING.md</w:t>
            </w:r>
          </w:p>
        </w:tc>
        <w:tc>
          <w:tcPr>
            <w:tcW w:type="dxa" w:w="7272"/>
            <w:vAlign w:val="top"/>
          </w:tcPr>
          <w:p>
            <w:pPr>
              <w:spacing w:after="0"/>
            </w:pPr>
            <w:r/>
            <w:r>
              <w:rPr>
                <w:b w:val="0"/>
                <w:sz w:val="16"/>
              </w:rPr>
              <w:t>Setup guidance, issue/PR workflow, license/security/UX review expectations, WSL notes.</w:t>
            </w:r>
          </w:p>
        </w:tc>
      </w:tr>
      <w:tr>
        <w:tc>
          <w:tcPr>
            <w:tcW w:type="dxa" w:w="3384"/>
            <w:vAlign w:val="top"/>
          </w:tcPr>
          <w:p>
            <w:pPr>
              <w:spacing w:after="0"/>
            </w:pPr>
            <w:r/>
            <w:r>
              <w:rPr>
                <w:b w:val="0"/>
                <w:sz w:val="16"/>
              </w:rPr>
              <w:t>CODE_OF_CONDUCT.md</w:t>
            </w:r>
          </w:p>
        </w:tc>
        <w:tc>
          <w:tcPr>
            <w:tcW w:type="dxa" w:w="7272"/>
            <w:vAlign w:val="top"/>
          </w:tcPr>
          <w:p>
            <w:pPr>
              <w:spacing w:after="0"/>
            </w:pPr>
            <w:r/>
            <w:r>
              <w:rPr>
                <w:b w:val="0"/>
                <w:sz w:val="16"/>
              </w:rPr>
              <w:t>Community behavior baseline.</w:t>
            </w:r>
          </w:p>
        </w:tc>
      </w:tr>
      <w:tr>
        <w:tc>
          <w:tcPr>
            <w:tcW w:type="dxa" w:w="3384"/>
            <w:vAlign w:val="top"/>
          </w:tcPr>
          <w:p>
            <w:pPr>
              <w:spacing w:after="0"/>
            </w:pPr>
            <w:r/>
            <w:r>
              <w:rPr>
                <w:b w:val="0"/>
                <w:sz w:val="16"/>
              </w:rPr>
              <w:t>SECURITY.md</w:t>
            </w:r>
          </w:p>
        </w:tc>
        <w:tc>
          <w:tcPr>
            <w:tcW w:type="dxa" w:w="7272"/>
            <w:vAlign w:val="top"/>
          </w:tcPr>
          <w:p>
            <w:pPr>
              <w:spacing w:after="0"/>
            </w:pPr>
            <w:r/>
            <w:r>
              <w:rPr>
                <w:b w:val="0"/>
                <w:sz w:val="16"/>
              </w:rPr>
              <w:t>Security reporting, non-custodial rules, wallet/key/payment risk areas.</w:t>
            </w:r>
          </w:p>
        </w:tc>
      </w:tr>
      <w:tr>
        <w:tc>
          <w:tcPr>
            <w:tcW w:type="dxa" w:w="3384"/>
            <w:vAlign w:val="top"/>
          </w:tcPr>
          <w:p>
            <w:pPr>
              <w:spacing w:after="0"/>
            </w:pPr>
            <w:r/>
            <w:r>
              <w:rPr>
                <w:b w:val="0"/>
                <w:sz w:val="16"/>
              </w:rPr>
              <w:t>SUPPORT.md</w:t>
            </w:r>
          </w:p>
        </w:tc>
        <w:tc>
          <w:tcPr>
            <w:tcW w:type="dxa" w:w="7272"/>
            <w:vAlign w:val="top"/>
          </w:tcPr>
          <w:p>
            <w:pPr>
              <w:spacing w:after="0"/>
            </w:pPr>
            <w:r/>
            <w:r>
              <w:rPr>
                <w:b w:val="0"/>
                <w:sz w:val="16"/>
              </w:rPr>
              <w:t>Support channels and expectations.</w:t>
            </w:r>
          </w:p>
        </w:tc>
      </w:tr>
      <w:tr>
        <w:tc>
          <w:tcPr>
            <w:tcW w:type="dxa" w:w="3384"/>
            <w:vAlign w:val="top"/>
          </w:tcPr>
          <w:p>
            <w:pPr>
              <w:spacing w:after="0"/>
            </w:pPr>
            <w:r/>
            <w:r>
              <w:rPr>
                <w:b w:val="0"/>
                <w:sz w:val="16"/>
              </w:rPr>
              <w:t>.github/ISSUE_TEMPLATE/*</w:t>
            </w:r>
          </w:p>
        </w:tc>
        <w:tc>
          <w:tcPr>
            <w:tcW w:type="dxa" w:w="7272"/>
            <w:vAlign w:val="top"/>
          </w:tcPr>
          <w:p>
            <w:pPr>
              <w:spacing w:after="0"/>
            </w:pPr>
            <w:r/>
            <w:r>
              <w:rPr>
                <w:b w:val="0"/>
                <w:sz w:val="16"/>
              </w:rPr>
              <w:t>Feature, bug, security, license-review, and UX-review templates.</w:t>
            </w:r>
          </w:p>
        </w:tc>
      </w:tr>
      <w:tr>
        <w:tc>
          <w:tcPr>
            <w:tcW w:type="dxa" w:w="3384"/>
            <w:vAlign w:val="top"/>
          </w:tcPr>
          <w:p>
            <w:pPr>
              <w:spacing w:after="0"/>
            </w:pPr>
            <w:r/>
            <w:r>
              <w:rPr>
                <w:b w:val="0"/>
                <w:sz w:val="16"/>
              </w:rPr>
              <w:t>.github/pull_request_template.md</w:t>
            </w:r>
          </w:p>
        </w:tc>
        <w:tc>
          <w:tcPr>
            <w:tcW w:type="dxa" w:w="7272"/>
            <w:vAlign w:val="top"/>
          </w:tcPr>
          <w:p>
            <w:pPr>
              <w:spacing w:after="0"/>
            </w:pPr>
            <w:r/>
            <w:r>
              <w:rPr>
                <w:b w:val="0"/>
                <w:sz w:val="16"/>
              </w:rPr>
              <w:t>PR checklist including license-review and security-review checkboxes.</w:t>
            </w:r>
          </w:p>
        </w:tc>
      </w:tr>
      <w:tr>
        <w:tc>
          <w:tcPr>
            <w:tcW w:type="dxa" w:w="3384"/>
            <w:vAlign w:val="top"/>
          </w:tcPr>
          <w:p>
            <w:pPr>
              <w:spacing w:after="0"/>
            </w:pPr>
            <w:r/>
            <w:r>
              <w:rPr>
                <w:b w:val="0"/>
                <w:sz w:val="16"/>
              </w:rPr>
              <w:t>docs/adr/0000-adr-template.md</w:t>
            </w:r>
          </w:p>
        </w:tc>
        <w:tc>
          <w:tcPr>
            <w:tcW w:type="dxa" w:w="7272"/>
            <w:vAlign w:val="top"/>
          </w:tcPr>
          <w:p>
            <w:pPr>
              <w:spacing w:after="0"/>
            </w:pPr>
            <w:r/>
            <w:r>
              <w:rPr>
                <w:b w:val="0"/>
                <w:sz w:val="16"/>
              </w:rPr>
              <w:t>ADR template with context, decision, alternatives, trade-offs, license review, security review, rollback plan, and validation.</w:t>
            </w:r>
          </w:p>
        </w:tc>
      </w:tr>
      <w:tr>
        <w:tc>
          <w:tcPr>
            <w:tcW w:type="dxa" w:w="3384"/>
            <w:vAlign w:val="top"/>
          </w:tcPr>
          <w:p>
            <w:pPr>
              <w:spacing w:after="0"/>
            </w:pPr>
            <w:r/>
            <w:r>
              <w:rPr>
                <w:b w:val="0"/>
                <w:sz w:val="16"/>
              </w:rPr>
              <w:t>docs/adr/README.md</w:t>
            </w:r>
          </w:p>
        </w:tc>
        <w:tc>
          <w:tcPr>
            <w:tcW w:type="dxa" w:w="7272"/>
            <w:vAlign w:val="top"/>
          </w:tcPr>
          <w:p>
            <w:pPr>
              <w:spacing w:after="0"/>
            </w:pPr>
            <w:r/>
            <w:r>
              <w:rPr>
                <w:b w:val="0"/>
                <w:sz w:val="16"/>
              </w:rPr>
              <w:t>ADR register, review workflow, dependency map, and critical path.</w:t>
            </w:r>
          </w:p>
        </w:tc>
      </w:tr>
      <w:tr>
        <w:tc>
          <w:tcPr>
            <w:tcW w:type="dxa" w:w="3384"/>
            <w:vAlign w:val="top"/>
          </w:tcPr>
          <w:p>
            <w:pPr>
              <w:spacing w:after="0"/>
            </w:pPr>
            <w:r/>
            <w:r>
              <w:rPr>
                <w:b w:val="0"/>
                <w:sz w:val="16"/>
              </w:rPr>
              <w:t>docs/data-sources/course-data-registry.*</w:t>
            </w:r>
          </w:p>
        </w:tc>
        <w:tc>
          <w:tcPr>
            <w:tcW w:type="dxa" w:w="7272"/>
            <w:vAlign w:val="top"/>
          </w:tcPr>
          <w:p>
            <w:pPr>
              <w:spacing w:after="0"/>
            </w:pPr>
            <w:r/>
            <w:r>
              <w:rPr>
                <w:b w:val="0"/>
                <w:sz w:val="16"/>
              </w:rPr>
              <w:t>Course data registry with license, coverage, fields, update method, and risk notes.</w:t>
            </w:r>
          </w:p>
        </w:tc>
      </w:tr>
      <w:tr>
        <w:tc>
          <w:tcPr>
            <w:tcW w:type="dxa" w:w="3384"/>
            <w:vAlign w:val="top"/>
          </w:tcPr>
          <w:p>
            <w:pPr>
              <w:spacing w:after="0"/>
            </w:pPr>
            <w:r/>
            <w:r>
              <w:rPr>
                <w:b w:val="0"/>
                <w:sz w:val="16"/>
              </w:rPr>
              <w:t>.github/workflows/ci.yml + scripts/ci/*</w:t>
            </w:r>
          </w:p>
        </w:tc>
        <w:tc>
          <w:tcPr>
            <w:tcW w:type="dxa" w:w="7272"/>
            <w:vAlign w:val="top"/>
          </w:tcPr>
          <w:p>
            <w:pPr>
              <w:spacing w:after="0"/>
            </w:pPr>
            <w:r/>
            <w:r>
              <w:rPr>
                <w:b w:val="0"/>
                <w:sz w:val="16"/>
              </w:rPr>
              <w:t>Placeholder CI workflow with metadata gates and replacement points for real formatter/linter/test commands.</w:t>
            </w:r>
          </w:p>
        </w:tc>
      </w:tr>
    </w:tbl>
    <w:p/>
    <w:p>
      <w:pPr>
        <w:pStyle w:val="Heading2"/>
        <w:keepNext/>
      </w:pPr>
      <w:r>
        <w:t>Governance gates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4B1D83"/>
            <w:vAlign w:val="center"/>
          </w:tcPr>
          <w:p>
            <w:pPr>
              <w:spacing w:after="0"/>
            </w:pPr>
            <w:r/>
            <w:r>
              <w:rPr>
                <w:b/>
                <w:color w:val="FFFFFF"/>
                <w:sz w:val="16"/>
              </w:rPr>
              <w:t>Gate</w:t>
            </w:r>
          </w:p>
        </w:tc>
        <w:tc>
          <w:tcPr>
            <w:tcW w:type="dxa" w:w="8280"/>
            <w:shd w:fill="4B1D83"/>
            <w:vAlign w:val="center"/>
          </w:tcPr>
          <w:p>
            <w:pPr>
              <w:spacing w:after="0"/>
            </w:pPr>
            <w:r/>
            <w:r>
              <w:rPr>
                <w:b/>
                <w:color w:val="FFFFFF"/>
                <w:sz w:val="16"/>
              </w:rPr>
              <w:t>Requirement</w:t>
            </w:r>
          </w:p>
        </w:tc>
      </w:tr>
      <w:tr>
        <w:tc>
          <w:tcPr>
            <w:tcW w:type="dxa" w:w="2376"/>
            <w:vAlign w:val="top"/>
          </w:tcPr>
          <w:p>
            <w:pPr>
              <w:spacing w:after="0"/>
            </w:pPr>
            <w:r/>
            <w:r>
              <w:rPr>
                <w:b w:val="0"/>
                <w:sz w:val="16"/>
              </w:rPr>
              <w:t>License gate</w:t>
            </w:r>
          </w:p>
        </w:tc>
        <w:tc>
          <w:tcPr>
            <w:tcW w:type="dxa" w:w="8280"/>
            <w:vAlign w:val="top"/>
          </w:tcPr>
          <w:p>
            <w:pPr>
              <w:spacing w:after="0"/>
            </w:pPr>
            <w:r/>
            <w:r>
              <w:rPr>
                <w:b w:val="0"/>
                <w:sz w:val="16"/>
              </w:rPr>
              <w:t>No dependency or data source becomes core without license classification and compatibility review.</w:t>
            </w:r>
          </w:p>
        </w:tc>
      </w:tr>
      <w:tr>
        <w:tc>
          <w:tcPr>
            <w:tcW w:type="dxa" w:w="2376"/>
            <w:vAlign w:val="top"/>
          </w:tcPr>
          <w:p>
            <w:pPr>
              <w:spacing w:after="0"/>
            </w:pPr>
            <w:r/>
            <w:r>
              <w:rPr>
                <w:b w:val="0"/>
                <w:sz w:val="16"/>
              </w:rPr>
              <w:t>Security gate</w:t>
            </w:r>
          </w:p>
        </w:tc>
        <w:tc>
          <w:tcPr>
            <w:tcW w:type="dxa" w:w="8280"/>
            <w:vAlign w:val="top"/>
          </w:tcPr>
          <w:p>
            <w:pPr>
              <w:spacing w:after="0"/>
            </w:pPr>
            <w:r/>
            <w:r>
              <w:rPr>
                <w:b w:val="0"/>
                <w:sz w:val="16"/>
              </w:rPr>
              <w:t>Identity, signing, payments, wallet, admin, and scoring-integrity flows require security review before release.</w:t>
            </w:r>
          </w:p>
        </w:tc>
      </w:tr>
      <w:tr>
        <w:tc>
          <w:tcPr>
            <w:tcW w:type="dxa" w:w="2376"/>
            <w:vAlign w:val="top"/>
          </w:tcPr>
          <w:p>
            <w:pPr>
              <w:spacing w:after="0"/>
            </w:pPr>
            <w:r/>
            <w:r>
              <w:rPr>
                <w:b w:val="0"/>
                <w:sz w:val="16"/>
              </w:rPr>
              <w:t>Accessibility gate</w:t>
            </w:r>
          </w:p>
        </w:tc>
        <w:tc>
          <w:tcPr>
            <w:tcW w:type="dxa" w:w="8280"/>
            <w:vAlign w:val="top"/>
          </w:tcPr>
          <w:p>
            <w:pPr>
              <w:spacing w:after="0"/>
            </w:pPr>
            <w:r/>
            <w:r>
              <w:rPr>
                <w:b w:val="0"/>
                <w:sz w:val="16"/>
              </w:rPr>
              <w:t>New user-facing flows require keyboard, screen-reader, contrast, focus, touch target, and mobile checks.</w:t>
            </w:r>
          </w:p>
        </w:tc>
      </w:tr>
      <w:tr>
        <w:tc>
          <w:tcPr>
            <w:tcW w:type="dxa" w:w="2376"/>
            <w:vAlign w:val="top"/>
          </w:tcPr>
          <w:p>
            <w:pPr>
              <w:spacing w:after="0"/>
            </w:pPr>
            <w:r/>
            <w:r>
              <w:rPr>
                <w:b w:val="0"/>
                <w:sz w:val="16"/>
              </w:rPr>
              <w:t>Data gate</w:t>
            </w:r>
          </w:p>
        </w:tc>
        <w:tc>
          <w:tcPr>
            <w:tcW w:type="dxa" w:w="8280"/>
            <w:vAlign w:val="top"/>
          </w:tcPr>
          <w:p>
            <w:pPr>
              <w:spacing w:after="0"/>
            </w:pPr>
            <w:r/>
            <w:r>
              <w:rPr>
                <w:b w:val="0"/>
                <w:sz w:val="16"/>
              </w:rPr>
              <w:t>Imported course/location data must include source, license, timestamp, transformation, and provenance notes.</w:t>
            </w:r>
          </w:p>
        </w:tc>
      </w:tr>
      <w:tr>
        <w:tc>
          <w:tcPr>
            <w:tcW w:type="dxa" w:w="2376"/>
            <w:vAlign w:val="top"/>
          </w:tcPr>
          <w:p>
            <w:pPr>
              <w:spacing w:after="0"/>
            </w:pPr>
            <w:r/>
            <w:r>
              <w:rPr>
                <w:b w:val="0"/>
                <w:sz w:val="16"/>
              </w:rPr>
              <w:t>ADR gate</w:t>
            </w:r>
          </w:p>
        </w:tc>
        <w:tc>
          <w:tcPr>
            <w:tcW w:type="dxa" w:w="8280"/>
            <w:vAlign w:val="top"/>
          </w:tcPr>
          <w:p>
            <w:pPr>
              <w:spacing w:after="0"/>
            </w:pPr>
            <w:r/>
            <w:r>
              <w:rPr>
                <w:b w:val="0"/>
                <w:sz w:val="16"/>
              </w:rPr>
              <w:t>Architecture-impacting work must reference an existing ADR or create/update one.</w:t>
            </w:r>
          </w:p>
        </w:tc>
      </w:tr>
      <w:tr>
        <w:tc>
          <w:tcPr>
            <w:tcW w:type="dxa" w:w="2376"/>
            <w:vAlign w:val="top"/>
          </w:tcPr>
          <w:p>
            <w:pPr>
              <w:spacing w:after="0"/>
            </w:pPr>
            <w:r/>
            <w:r>
              <w:rPr>
                <w:b w:val="0"/>
                <w:sz w:val="16"/>
              </w:rPr>
              <w:t>Release gate</w:t>
            </w:r>
          </w:p>
        </w:tc>
        <w:tc>
          <w:tcPr>
            <w:tcW w:type="dxa" w:w="8280"/>
            <w:vAlign w:val="top"/>
          </w:tcPr>
          <w:p>
            <w:pPr>
              <w:spacing w:after="0"/>
            </w:pPr>
            <w:r/>
            <w:r>
              <w:rPr>
                <w:b w:val="0"/>
                <w:sz w:val="16"/>
              </w:rPr>
              <w:t>Each release requires changelog, migration notes, known limitations, and event-readiness checklist.</w:t>
            </w:r>
          </w:p>
        </w:tc>
      </w:tr>
    </w:tbl>
    <w:p/>
    <w:p>
      <w:pPr>
        <w:pStyle w:val="Heading1"/>
        <w:keepNext/>
      </w:pPr>
      <w:r>
        <w:t>6. Stakeholders, app users, and project delivery roles</w:t>
      </w:r>
    </w:p>
    <w:p>
      <w:r>
        <w:rPr>
          <w:sz w:val="18"/>
        </w:rPr>
        <w:t>There are two role systems: application roles inside the product and delivery roles needed to build, review, and operate the project. They overlap in real life but should remain separate in permissions and planning.</w:t>
      </w:r>
    </w:p>
    <w:p>
      <w:pPr>
        <w:pStyle w:val="Heading2"/>
        <w:keepNext/>
      </w:pPr>
      <w:r>
        <w:t>Application user roles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4B1D83"/>
            <w:vAlign w:val="center"/>
          </w:tcPr>
          <w:p>
            <w:pPr>
              <w:spacing w:after="0"/>
            </w:pPr>
            <w:r/>
            <w:r>
              <w:rPr>
                <w:b/>
                <w:color w:val="FFFFFF"/>
                <w:sz w:val="16"/>
              </w:rPr>
              <w:t>Role</w:t>
            </w:r>
          </w:p>
        </w:tc>
        <w:tc>
          <w:tcPr>
            <w:tcW w:type="dxa" w:w="8208"/>
            <w:shd w:fill="4B1D83"/>
            <w:vAlign w:val="center"/>
          </w:tcPr>
          <w:p>
            <w:pPr>
              <w:spacing w:after="0"/>
            </w:pPr>
            <w:r/>
            <w:r>
              <w:rPr>
                <w:b/>
                <w:color w:val="FFFFFF"/>
                <w:sz w:val="16"/>
              </w:rPr>
              <w:t>Primary responsibilities</w:t>
            </w:r>
          </w:p>
        </w:tc>
      </w:tr>
      <w:tr>
        <w:tc>
          <w:tcPr>
            <w:tcW w:type="dxa" w:w="2448"/>
            <w:vAlign w:val="top"/>
          </w:tcPr>
          <w:p>
            <w:pPr>
              <w:spacing w:after="0"/>
            </w:pPr>
            <w:r/>
            <w:r>
              <w:rPr>
                <w:b w:val="0"/>
                <w:sz w:val="16"/>
              </w:rPr>
              <w:t>General user</w:t>
            </w:r>
          </w:p>
        </w:tc>
        <w:tc>
          <w:tcPr>
            <w:tcW w:type="dxa" w:w="8208"/>
            <w:vAlign w:val="top"/>
          </w:tcPr>
          <w:p>
            <w:pPr>
              <w:spacing w:after="0"/>
            </w:pPr>
            <w:r/>
            <w:r>
              <w:rPr>
                <w:b w:val="0"/>
                <w:sz w:val="16"/>
              </w:rPr>
              <w:t>Browses public event information, venues, schedule, and scoreboard.</w:t>
            </w:r>
          </w:p>
        </w:tc>
      </w:tr>
      <w:tr>
        <w:tc>
          <w:tcPr>
            <w:tcW w:type="dxa" w:w="2448"/>
            <w:vAlign w:val="top"/>
          </w:tcPr>
          <w:p>
            <w:pPr>
              <w:spacing w:after="0"/>
            </w:pPr>
            <w:r/>
            <w:r>
              <w:rPr>
                <w:b w:val="0"/>
                <w:sz w:val="16"/>
              </w:rPr>
              <w:t>Player</w:t>
            </w:r>
          </w:p>
        </w:tc>
        <w:tc>
          <w:tcPr>
            <w:tcW w:type="dxa" w:w="8208"/>
            <w:vAlign w:val="top"/>
          </w:tcPr>
          <w:p>
            <w:pPr>
              <w:spacing w:after="0"/>
            </w:pPr>
            <w:r/>
            <w:r>
              <w:rPr>
                <w:b w:val="0"/>
                <w:sz w:val="16"/>
              </w:rPr>
              <w:t>Registers, joins/gets assigned to a team, pays fees, submits practice scores, views status and achievements.</w:t>
            </w:r>
          </w:p>
        </w:tc>
      </w:tr>
      <w:tr>
        <w:tc>
          <w:tcPr>
            <w:tcW w:type="dxa" w:w="2448"/>
            <w:vAlign w:val="top"/>
          </w:tcPr>
          <w:p>
            <w:pPr>
              <w:spacing w:after="0"/>
            </w:pPr>
            <w:r/>
            <w:r>
              <w:rPr>
                <w:b w:val="0"/>
                <w:sz w:val="16"/>
              </w:rPr>
              <w:t>Team manager</w:t>
            </w:r>
          </w:p>
        </w:tc>
        <w:tc>
          <w:tcPr>
            <w:tcW w:type="dxa" w:w="8208"/>
            <w:vAlign w:val="top"/>
          </w:tcPr>
          <w:p>
            <w:pPr>
              <w:spacing w:after="0"/>
            </w:pPr>
            <w:r/>
            <w:r>
              <w:rPr>
                <w:b w:val="0"/>
                <w:sz w:val="16"/>
              </w:rPr>
              <w:t>Manages roster, checks fee status, coordinates team communication.</w:t>
            </w:r>
          </w:p>
        </w:tc>
      </w:tr>
      <w:tr>
        <w:tc>
          <w:tcPr>
            <w:tcW w:type="dxa" w:w="2448"/>
            <w:vAlign w:val="top"/>
          </w:tcPr>
          <w:p>
            <w:pPr>
              <w:spacing w:after="0"/>
            </w:pPr>
            <w:r/>
            <w:r>
              <w:rPr>
                <w:b w:val="0"/>
                <w:sz w:val="16"/>
              </w:rPr>
              <w:t>Scorekeeper</w:t>
            </w:r>
          </w:p>
        </w:tc>
        <w:tc>
          <w:tcPr>
            <w:tcW w:type="dxa" w:w="8208"/>
            <w:vAlign w:val="top"/>
          </w:tcPr>
          <w:p>
            <w:pPr>
              <w:spacing w:after="0"/>
            </w:pPr>
            <w:r/>
            <w:r>
              <w:rPr>
                <w:b w:val="0"/>
                <w:sz w:val="16"/>
              </w:rPr>
              <w:t>Officially enters scores during the event. Critical because player app usage is optional.</w:t>
            </w:r>
          </w:p>
        </w:tc>
      </w:tr>
      <w:tr>
        <w:tc>
          <w:tcPr>
            <w:tcW w:type="dxa" w:w="2448"/>
            <w:vAlign w:val="top"/>
          </w:tcPr>
          <w:p>
            <w:pPr>
              <w:spacing w:after="0"/>
            </w:pPr>
            <w:r/>
            <w:r>
              <w:rPr>
                <w:b w:val="0"/>
                <w:sz w:val="16"/>
              </w:rPr>
              <w:t>Marker/attester</w:t>
            </w:r>
          </w:p>
        </w:tc>
        <w:tc>
          <w:tcPr>
            <w:tcW w:type="dxa" w:w="8208"/>
            <w:vAlign w:val="top"/>
          </w:tcPr>
          <w:p>
            <w:pPr>
              <w:spacing w:after="0"/>
            </w:pPr>
            <w:r/>
            <w:r>
              <w:rPr>
                <w:b w:val="0"/>
                <w:sz w:val="16"/>
              </w:rPr>
              <w:t>Attests submitted scorecards or course facts using a Nostr identity.</w:t>
            </w:r>
          </w:p>
        </w:tc>
      </w:tr>
      <w:tr>
        <w:tc>
          <w:tcPr>
            <w:tcW w:type="dxa" w:w="2448"/>
            <w:vAlign w:val="top"/>
          </w:tcPr>
          <w:p>
            <w:pPr>
              <w:spacing w:after="0"/>
            </w:pPr>
            <w:r/>
            <w:r>
              <w:rPr>
                <w:b w:val="0"/>
                <w:sz w:val="16"/>
              </w:rPr>
              <w:t>Organizer/admin</w:t>
            </w:r>
          </w:p>
        </w:tc>
        <w:tc>
          <w:tcPr>
            <w:tcW w:type="dxa" w:w="8208"/>
            <w:vAlign w:val="top"/>
          </w:tcPr>
          <w:p>
            <w:pPr>
              <w:spacing w:after="0"/>
            </w:pPr>
            <w:r/>
            <w:r>
              <w:rPr>
                <w:b w:val="0"/>
                <w:sz w:val="16"/>
              </w:rPr>
              <w:t>Creates events, assigns roles, resolves disputes, manages schedules, approves official results.</w:t>
            </w:r>
          </w:p>
        </w:tc>
      </w:tr>
      <w:tr>
        <w:tc>
          <w:tcPr>
            <w:tcW w:type="dxa" w:w="2448"/>
            <w:vAlign w:val="top"/>
          </w:tcPr>
          <w:p>
            <w:pPr>
              <w:spacing w:after="0"/>
            </w:pPr>
            <w:r/>
            <w:r>
              <w:rPr>
                <w:b w:val="0"/>
                <w:sz w:val="16"/>
              </w:rPr>
              <w:t>Fan/spectator</w:t>
            </w:r>
          </w:p>
        </w:tc>
        <w:tc>
          <w:tcPr>
            <w:tcW w:type="dxa" w:w="8208"/>
            <w:vAlign w:val="top"/>
          </w:tcPr>
          <w:p>
            <w:pPr>
              <w:spacing w:after="0"/>
            </w:pPr>
            <w:r/>
            <w:r>
              <w:rPr>
                <w:b w:val="0"/>
                <w:sz w:val="16"/>
              </w:rPr>
              <w:t>Views standings, achievements, public score posts, maps, and announcements; may zap public posts.</w:t>
            </w:r>
          </w:p>
        </w:tc>
      </w:tr>
      <w:tr>
        <w:tc>
          <w:tcPr>
            <w:tcW w:type="dxa" w:w="2448"/>
            <w:vAlign w:val="top"/>
          </w:tcPr>
          <w:p>
            <w:pPr>
              <w:spacing w:after="0"/>
            </w:pPr>
            <w:r/>
            <w:r>
              <w:rPr>
                <w:b w:val="0"/>
                <w:sz w:val="16"/>
              </w:rPr>
              <w:t>Sponsor</w:t>
            </w:r>
          </w:p>
        </w:tc>
        <w:tc>
          <w:tcPr>
            <w:tcW w:type="dxa" w:w="8208"/>
            <w:vAlign w:val="top"/>
          </w:tcPr>
          <w:p>
            <w:pPr>
              <w:spacing w:after="0"/>
            </w:pPr>
            <w:r/>
            <w:r>
              <w:rPr>
                <w:b w:val="0"/>
                <w:sz w:val="16"/>
              </w:rPr>
              <w:t>Supports prizes, infrastructure, bounties, wallet testing, media, or course data without controlling governance.</w:t>
            </w:r>
          </w:p>
        </w:tc>
      </w:tr>
      <w:tr>
        <w:tc>
          <w:tcPr>
            <w:tcW w:type="dxa" w:w="2448"/>
            <w:vAlign w:val="top"/>
          </w:tcPr>
          <w:p>
            <w:pPr>
              <w:spacing w:after="0"/>
            </w:pPr>
            <w:r/>
            <w:r>
              <w:rPr>
                <w:b w:val="0"/>
                <w:sz w:val="16"/>
              </w:rPr>
              <w:t>Course data contributor</w:t>
            </w:r>
          </w:p>
        </w:tc>
        <w:tc>
          <w:tcPr>
            <w:tcW w:type="dxa" w:w="8208"/>
            <w:vAlign w:val="top"/>
          </w:tcPr>
          <w:p>
            <w:pPr>
              <w:spacing w:after="0"/>
            </w:pPr>
            <w:r/>
            <w:r>
              <w:rPr>
                <w:b w:val="0"/>
                <w:sz w:val="16"/>
              </w:rPr>
              <w:t>Proposes corrections/enrichments, course ratings, and evidence for review.</w:t>
            </w:r>
          </w:p>
        </w:tc>
      </w:tr>
      <w:tr>
        <w:tc>
          <w:tcPr>
            <w:tcW w:type="dxa" w:w="2448"/>
            <w:vAlign w:val="top"/>
          </w:tcPr>
          <w:p>
            <w:pPr>
              <w:spacing w:after="0"/>
            </w:pPr>
            <w:r/>
            <w:r>
              <w:rPr>
                <w:b w:val="0"/>
                <w:sz w:val="16"/>
              </w:rPr>
              <w:t>Auditor/reviewer</w:t>
            </w:r>
          </w:p>
        </w:tc>
        <w:tc>
          <w:tcPr>
            <w:tcW w:type="dxa" w:w="8208"/>
            <w:vAlign w:val="top"/>
          </w:tcPr>
          <w:p>
            <w:pPr>
              <w:spacing w:after="0"/>
            </w:pPr>
            <w:r/>
            <w:r>
              <w:rPr>
                <w:b w:val="0"/>
                <w:sz w:val="16"/>
              </w:rPr>
              <w:t>Reviews payments, score changes, course-data provenance, and operational logs.</w:t>
            </w:r>
          </w:p>
        </w:tc>
      </w:tr>
    </w:tbl>
    <w:p/>
    <w:p>
      <w:pPr>
        <w:pStyle w:val="Heading2"/>
        <w:keepNext/>
      </w:pPr>
      <w:r>
        <w:t>Project delivery roles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96"/>
            <w:shd w:fill="4B1D83"/>
            <w:vAlign w:val="center"/>
          </w:tcPr>
          <w:p>
            <w:pPr>
              <w:spacing w:after="0"/>
            </w:pPr>
            <w:r/>
            <w:r>
              <w:rPr>
                <w:b/>
                <w:color w:val="FFFFFF"/>
                <w:sz w:val="16"/>
              </w:rPr>
              <w:t>Delivery role</w:t>
            </w:r>
          </w:p>
        </w:tc>
        <w:tc>
          <w:tcPr>
            <w:tcW w:type="dxa" w:w="7560"/>
            <w:shd w:fill="4B1D83"/>
            <w:vAlign w:val="center"/>
          </w:tcPr>
          <w:p>
            <w:pPr>
              <w:spacing w:after="0"/>
            </w:pPr>
            <w:r/>
            <w:r>
              <w:rPr>
                <w:b/>
                <w:color w:val="FFFFFF"/>
                <w:sz w:val="16"/>
              </w:rPr>
              <w:t>Accountability</w:t>
            </w:r>
          </w:p>
        </w:tc>
      </w:tr>
      <w:tr>
        <w:tc>
          <w:tcPr>
            <w:tcW w:type="dxa" w:w="3096"/>
            <w:vAlign w:val="top"/>
          </w:tcPr>
          <w:p>
            <w:pPr>
              <w:spacing w:after="0"/>
            </w:pPr>
            <w:r/>
            <w:r>
              <w:rPr>
                <w:b w:val="0"/>
                <w:sz w:val="16"/>
              </w:rPr>
              <w:t>Product Owner / Product Manager</w:t>
            </w:r>
          </w:p>
        </w:tc>
        <w:tc>
          <w:tcPr>
            <w:tcW w:type="dxa" w:w="7560"/>
            <w:vAlign w:val="top"/>
          </w:tcPr>
          <w:p>
            <w:pPr>
              <w:spacing w:after="0"/>
            </w:pPr>
            <w:r/>
            <w:r>
              <w:rPr>
                <w:b w:val="0"/>
                <w:sz w:val="16"/>
              </w:rPr>
              <w:t>Owns product vision, MVP boundary, backlog priority, stakeholder alignment.</w:t>
            </w:r>
          </w:p>
        </w:tc>
      </w:tr>
      <w:tr>
        <w:tc>
          <w:tcPr>
            <w:tcW w:type="dxa" w:w="3096"/>
            <w:vAlign w:val="top"/>
          </w:tcPr>
          <w:p>
            <w:pPr>
              <w:spacing w:after="0"/>
            </w:pPr>
            <w:r/>
            <w:r>
              <w:rPr>
                <w:b w:val="0"/>
                <w:sz w:val="16"/>
              </w:rPr>
              <w:t>Delivery Lead / Scrum Master</w:t>
            </w:r>
          </w:p>
        </w:tc>
        <w:tc>
          <w:tcPr>
            <w:tcW w:type="dxa" w:w="7560"/>
            <w:vAlign w:val="top"/>
          </w:tcPr>
          <w:p>
            <w:pPr>
              <w:spacing w:after="0"/>
            </w:pPr>
            <w:r/>
            <w:r>
              <w:rPr>
                <w:b w:val="0"/>
                <w:sz w:val="16"/>
              </w:rPr>
              <w:t>Maintains sprint cadence, removes blockers, protects focus.</w:t>
            </w:r>
          </w:p>
        </w:tc>
      </w:tr>
      <w:tr>
        <w:tc>
          <w:tcPr>
            <w:tcW w:type="dxa" w:w="3096"/>
            <w:vAlign w:val="top"/>
          </w:tcPr>
          <w:p>
            <w:pPr>
              <w:spacing w:after="0"/>
            </w:pPr>
            <w:r/>
            <w:r>
              <w:rPr>
                <w:b w:val="0"/>
                <w:sz w:val="16"/>
              </w:rPr>
              <w:t>UX Specialist</w:t>
            </w:r>
          </w:p>
        </w:tc>
        <w:tc>
          <w:tcPr>
            <w:tcW w:type="dxa" w:w="7560"/>
            <w:vAlign w:val="top"/>
          </w:tcPr>
          <w:p>
            <w:pPr>
              <w:spacing w:after="0"/>
            </w:pPr>
            <w:r/>
            <w:r>
              <w:rPr>
                <w:b w:val="0"/>
                <w:sz w:val="16"/>
              </w:rPr>
              <w:t>Owns user flows, field usability, accessibility acceptance criteria.</w:t>
            </w:r>
          </w:p>
        </w:tc>
      </w:tr>
      <w:tr>
        <w:tc>
          <w:tcPr>
            <w:tcW w:type="dxa" w:w="3096"/>
            <w:vAlign w:val="top"/>
          </w:tcPr>
          <w:p>
            <w:pPr>
              <w:spacing w:after="0"/>
            </w:pPr>
            <w:r/>
            <w:r>
              <w:rPr>
                <w:b w:val="0"/>
                <w:sz w:val="16"/>
              </w:rPr>
              <w:t>Technical Lead / Architect</w:t>
            </w:r>
          </w:p>
        </w:tc>
        <w:tc>
          <w:tcPr>
            <w:tcW w:type="dxa" w:w="7560"/>
            <w:vAlign w:val="top"/>
          </w:tcPr>
          <w:p>
            <w:pPr>
              <w:spacing w:after="0"/>
            </w:pPr>
            <w:r/>
            <w:r>
              <w:rPr>
                <w:b w:val="0"/>
                <w:sz w:val="16"/>
              </w:rPr>
              <w:t>Owns architectural coherence, ADR quality, integration patterns, code standards.</w:t>
            </w:r>
          </w:p>
        </w:tc>
      </w:tr>
      <w:tr>
        <w:tc>
          <w:tcPr>
            <w:tcW w:type="dxa" w:w="3096"/>
            <w:vAlign w:val="top"/>
          </w:tcPr>
          <w:p>
            <w:pPr>
              <w:spacing w:after="0"/>
            </w:pPr>
            <w:r/>
            <w:r>
              <w:rPr>
                <w:b w:val="0"/>
                <w:sz w:val="16"/>
              </w:rPr>
              <w:t>Frontend / PWA Developer</w:t>
            </w:r>
          </w:p>
        </w:tc>
        <w:tc>
          <w:tcPr>
            <w:tcW w:type="dxa" w:w="7560"/>
            <w:vAlign w:val="top"/>
          </w:tcPr>
          <w:p>
            <w:pPr>
              <w:spacing w:after="0"/>
            </w:pPr>
            <w:r/>
            <w:r>
              <w:rPr>
                <w:b w:val="0"/>
                <w:sz w:val="16"/>
              </w:rPr>
              <w:t>Builds React/Vite PWA, offline behavior, accessibility, scorekeeper and fan UI.</w:t>
            </w:r>
          </w:p>
        </w:tc>
      </w:tr>
      <w:tr>
        <w:tc>
          <w:tcPr>
            <w:tcW w:type="dxa" w:w="3096"/>
            <w:vAlign w:val="top"/>
          </w:tcPr>
          <w:p>
            <w:pPr>
              <w:spacing w:after="0"/>
            </w:pPr>
            <w:r/>
            <w:r>
              <w:rPr>
                <w:b w:val="0"/>
                <w:sz w:val="16"/>
              </w:rPr>
              <w:t>Backend Developer</w:t>
            </w:r>
          </w:p>
        </w:tc>
        <w:tc>
          <w:tcPr>
            <w:tcW w:type="dxa" w:w="7560"/>
            <w:vAlign w:val="top"/>
          </w:tcPr>
          <w:p>
            <w:pPr>
              <w:spacing w:after="0"/>
            </w:pPr>
            <w:r/>
            <w:r>
              <w:rPr>
                <w:b w:val="0"/>
                <w:sz w:val="16"/>
              </w:rPr>
              <w:t>Builds registration, scoring, roles, APIs, payment state, data imports, audits.</w:t>
            </w:r>
          </w:p>
        </w:tc>
      </w:tr>
      <w:tr>
        <w:tc>
          <w:tcPr>
            <w:tcW w:type="dxa" w:w="3096"/>
            <w:vAlign w:val="top"/>
          </w:tcPr>
          <w:p>
            <w:pPr>
              <w:spacing w:after="0"/>
            </w:pPr>
            <w:r/>
            <w:r>
              <w:rPr>
                <w:b w:val="0"/>
                <w:sz w:val="16"/>
              </w:rPr>
              <w:t>Nostr Integration Engineer</w:t>
            </w:r>
          </w:p>
        </w:tc>
        <w:tc>
          <w:tcPr>
            <w:tcW w:type="dxa" w:w="7560"/>
            <w:vAlign w:val="top"/>
          </w:tcPr>
          <w:p>
            <w:pPr>
              <w:spacing w:after="0"/>
            </w:pPr>
            <w:r/>
            <w:r>
              <w:rPr>
                <w:b w:val="0"/>
                <w:sz w:val="16"/>
              </w:rPr>
              <w:t>Implements Nostr identity, NIP-07/NIP-98, relays, event schemas, attestations.</w:t>
            </w:r>
          </w:p>
        </w:tc>
      </w:tr>
      <w:tr>
        <w:tc>
          <w:tcPr>
            <w:tcW w:type="dxa" w:w="3096"/>
            <w:vAlign w:val="top"/>
          </w:tcPr>
          <w:p>
            <w:pPr>
              <w:spacing w:after="0"/>
            </w:pPr>
            <w:r/>
            <w:r>
              <w:rPr>
                <w:b w:val="0"/>
                <w:sz w:val="16"/>
              </w:rPr>
              <w:t>Bitcoin/Lightning Engineer</w:t>
            </w:r>
          </w:p>
        </w:tc>
        <w:tc>
          <w:tcPr>
            <w:tcW w:type="dxa" w:w="7560"/>
            <w:vAlign w:val="top"/>
          </w:tcPr>
          <w:p>
            <w:pPr>
              <w:spacing w:after="0"/>
            </w:pPr>
            <w:r/>
            <w:r>
              <w:rPr>
                <w:b w:val="0"/>
                <w:sz w:val="16"/>
              </w:rPr>
              <w:t>Implements NWC, BTCPay, payment state, zaps, rewards, reconciliation.</w:t>
            </w:r>
          </w:p>
        </w:tc>
      </w:tr>
      <w:tr>
        <w:tc>
          <w:tcPr>
            <w:tcW w:type="dxa" w:w="3096"/>
            <w:vAlign w:val="top"/>
          </w:tcPr>
          <w:p>
            <w:pPr>
              <w:spacing w:after="0"/>
            </w:pPr>
            <w:r/>
            <w:r>
              <w:rPr>
                <w:b w:val="0"/>
                <w:sz w:val="16"/>
              </w:rPr>
              <w:t>Course Data Steward</w:t>
            </w:r>
          </w:p>
        </w:tc>
        <w:tc>
          <w:tcPr>
            <w:tcW w:type="dxa" w:w="7560"/>
            <w:vAlign w:val="top"/>
          </w:tcPr>
          <w:p>
            <w:pPr>
              <w:spacing w:after="0"/>
            </w:pPr>
            <w:r/>
            <w:r>
              <w:rPr>
                <w:b w:val="0"/>
                <w:sz w:val="16"/>
              </w:rPr>
              <w:t>Maintains source registry, import quality, field-level provenance, moderation.</w:t>
            </w:r>
          </w:p>
        </w:tc>
      </w:tr>
      <w:tr>
        <w:tc>
          <w:tcPr>
            <w:tcW w:type="dxa" w:w="3096"/>
            <w:vAlign w:val="top"/>
          </w:tcPr>
          <w:p>
            <w:pPr>
              <w:spacing w:after="0"/>
            </w:pPr>
            <w:r/>
            <w:r>
              <w:rPr>
                <w:b w:val="0"/>
                <w:sz w:val="16"/>
              </w:rPr>
              <w:t>Security/Privacy Reviewer</w:t>
            </w:r>
          </w:p>
        </w:tc>
        <w:tc>
          <w:tcPr>
            <w:tcW w:type="dxa" w:w="7560"/>
            <w:vAlign w:val="top"/>
          </w:tcPr>
          <w:p>
            <w:pPr>
              <w:spacing w:after="0"/>
            </w:pPr>
            <w:r/>
            <w:r>
              <w:rPr>
                <w:b w:val="0"/>
                <w:sz w:val="16"/>
              </w:rPr>
              <w:t>Reviews keys, wallet permissions, admin actions, payments, privacy risks.</w:t>
            </w:r>
          </w:p>
        </w:tc>
      </w:tr>
      <w:tr>
        <w:tc>
          <w:tcPr>
            <w:tcW w:type="dxa" w:w="3096"/>
            <w:vAlign w:val="top"/>
          </w:tcPr>
          <w:p>
            <w:pPr>
              <w:spacing w:after="0"/>
            </w:pPr>
            <w:r/>
            <w:r>
              <w:rPr>
                <w:b w:val="0"/>
                <w:sz w:val="16"/>
              </w:rPr>
              <w:t>License Reviewer</w:t>
            </w:r>
          </w:p>
        </w:tc>
        <w:tc>
          <w:tcPr>
            <w:tcW w:type="dxa" w:w="7560"/>
            <w:vAlign w:val="top"/>
          </w:tcPr>
          <w:p>
            <w:pPr>
              <w:spacing w:after="0"/>
            </w:pPr>
            <w:r/>
            <w:r>
              <w:rPr>
                <w:b w:val="0"/>
                <w:sz w:val="16"/>
              </w:rPr>
              <w:t>Checks dependencies, ODbL/data obligations, sponsor services, redistribution rights.</w:t>
            </w:r>
          </w:p>
        </w:tc>
      </w:tr>
      <w:tr>
        <w:tc>
          <w:tcPr>
            <w:tcW w:type="dxa" w:w="3096"/>
            <w:vAlign w:val="top"/>
          </w:tcPr>
          <w:p>
            <w:pPr>
              <w:spacing w:after="0"/>
            </w:pPr>
            <w:r/>
            <w:r>
              <w:rPr>
                <w:b w:val="0"/>
                <w:sz w:val="16"/>
              </w:rPr>
              <w:t>QA/Test Lead</w:t>
            </w:r>
          </w:p>
        </w:tc>
        <w:tc>
          <w:tcPr>
            <w:tcW w:type="dxa" w:w="7560"/>
            <w:vAlign w:val="top"/>
          </w:tcPr>
          <w:p>
            <w:pPr>
              <w:spacing w:after="0"/>
            </w:pPr>
            <w:r/>
            <w:r>
              <w:rPr>
                <w:b w:val="0"/>
                <w:sz w:val="16"/>
              </w:rPr>
              <w:t>Owns unit/integration/e2e strategy, event dry run, offline scoring tests.</w:t>
            </w:r>
          </w:p>
        </w:tc>
      </w:tr>
      <w:tr>
        <w:tc>
          <w:tcPr>
            <w:tcW w:type="dxa" w:w="3096"/>
            <w:vAlign w:val="top"/>
          </w:tcPr>
          <w:p>
            <w:pPr>
              <w:spacing w:after="0"/>
            </w:pPr>
            <w:r/>
            <w:r>
              <w:rPr>
                <w:b w:val="0"/>
                <w:sz w:val="16"/>
              </w:rPr>
              <w:t>DevOps/Infrastructure Engineer</w:t>
            </w:r>
          </w:p>
        </w:tc>
        <w:tc>
          <w:tcPr>
            <w:tcW w:type="dxa" w:w="7560"/>
            <w:vAlign w:val="top"/>
          </w:tcPr>
          <w:p>
            <w:pPr>
              <w:spacing w:after="0"/>
            </w:pPr>
            <w:r/>
            <w:r>
              <w:rPr>
                <w:b w:val="0"/>
                <w:sz w:val="16"/>
              </w:rPr>
              <w:t>Owns deployment, monitoring, backups, CI/CD, secrets, incident response.</w:t>
            </w:r>
          </w:p>
        </w:tc>
      </w:tr>
      <w:tr>
        <w:tc>
          <w:tcPr>
            <w:tcW w:type="dxa" w:w="3096"/>
            <w:vAlign w:val="top"/>
          </w:tcPr>
          <w:p>
            <w:pPr>
              <w:spacing w:after="0"/>
            </w:pPr>
            <w:r/>
            <w:r>
              <w:rPr>
                <w:b w:val="0"/>
                <w:sz w:val="16"/>
              </w:rPr>
              <w:t>Developer Relations / Community</w:t>
            </w:r>
          </w:p>
        </w:tc>
        <w:tc>
          <w:tcPr>
            <w:tcW w:type="dxa" w:w="7560"/>
            <w:vAlign w:val="top"/>
          </w:tcPr>
          <w:p>
            <w:pPr>
              <w:spacing w:after="0"/>
            </w:pPr>
            <w:r/>
            <w:r>
              <w:rPr>
                <w:b w:val="0"/>
                <w:sz w:val="16"/>
              </w:rPr>
              <w:t>Welcomes contributors, triages issues, writes docs, promotes bounties.</w:t>
            </w:r>
          </w:p>
        </w:tc>
      </w:tr>
    </w:tbl>
    <w:p/>
    <w:p>
      <w:pPr>
        <w:pStyle w:val="Heading1"/>
        <w:keepNext/>
      </w:pPr>
      <w:r>
        <w:t>7. Product concept and user experience model</w:t>
      </w:r>
    </w:p>
    <w:p>
      <w:r>
        <w:rPr>
          <w:sz w:val="18"/>
        </w:rPr>
        <w:t>The product should feel simple to event participants while remaining serious underneath. Most users should not need to understand relays, NIPs, wallet protocols, database provenance, or ODbL obligations. The app should hide protocol complexity while preserving user sovereignty and operational trust.</w:t>
      </w:r>
    </w:p>
    <w:p>
      <w:pPr>
        <w:pStyle w:val="Heading2"/>
        <w:keepNext/>
      </w:pPr>
      <w:r>
        <w:t>Core product flows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376"/>
            <w:shd w:fill="4B1D83"/>
            <w:vAlign w:val="center"/>
          </w:tcPr>
          <w:p>
            <w:pPr>
              <w:spacing w:after="0"/>
            </w:pPr>
            <w:r>
              <w:rPr>
                <w:b/>
                <w:color w:val="FFFFFF"/>
                <w:sz w:val="16"/>
              </w:rPr>
            </w:r>
            <w:r>
              <w:rPr>
                <w:b/>
                <w:color w:val="FFFFFF"/>
                <w:sz w:val="16"/>
              </w:rPr>
              <w:t>Flow</w:t>
            </w:r>
          </w:p>
        </w:tc>
        <w:tc>
          <w:tcPr>
            <w:tcW w:type="dxa" w:w="8280"/>
            <w:shd w:fill="4B1D83"/>
            <w:vAlign w:val="center"/>
          </w:tcPr>
          <w:p>
            <w:pPr>
              <w:spacing w:after="0"/>
            </w:pPr>
            <w:r>
              <w:rPr>
                <w:b/>
                <w:color w:val="FFFFFF"/>
                <w:sz w:val="16"/>
              </w:rPr>
            </w:r>
            <w:r>
              <w:rPr>
                <w:b/>
                <w:color w:val="FFFFFF"/>
                <w:sz w:val="16"/>
              </w:rPr>
              <w:t>Description</w:t>
            </w:r>
          </w:p>
        </w:tc>
      </w:tr>
      <w:tr>
        <w:tc>
          <w:tcPr>
            <w:tcW w:type="dxa" w:w="2376"/>
            <w:vAlign w:val="top"/>
            <w:shd w:fill="FFFFFF"/>
          </w:tcPr>
          <w:p>
            <w:pPr>
              <w:spacing w:after="0"/>
            </w:pPr>
            <w:r>
              <w:rPr>
                <w:sz w:val="16"/>
              </w:rPr>
            </w:r>
            <w:r>
              <w:rPr>
                <w:b w:val="0"/>
                <w:sz w:val="16"/>
              </w:rPr>
              <w:t>Registration</w:t>
            </w:r>
          </w:p>
        </w:tc>
        <w:tc>
          <w:tcPr>
            <w:tcW w:type="dxa" w:w="8280"/>
            <w:vAlign w:val="top"/>
            <w:shd w:fill="FFFFFF"/>
          </w:tcPr>
          <w:p>
            <w:pPr>
              <w:spacing w:after="0"/>
            </w:pPr>
            <w:r>
              <w:rPr>
                <w:sz w:val="16"/>
              </w:rPr>
            </w:r>
            <w:r>
              <w:rPr>
                <w:b w:val="0"/>
                <w:sz w:val="16"/>
              </w:rPr>
              <w:t>Player/team registration with Nostr identity association, fallback manual registration, team preference, fee status, and rule consent.</w:t>
            </w:r>
          </w:p>
        </w:tc>
      </w:tr>
      <w:tr>
        <w:tc>
          <w:tcPr>
            <w:tcW w:type="dxa" w:w="2376"/>
            <w:vAlign w:val="top"/>
            <w:shd w:fill="FFFFFF"/>
          </w:tcPr>
          <w:p>
            <w:pPr>
              <w:spacing w:after="0"/>
            </w:pPr>
            <w:r>
              <w:rPr>
                <w:sz w:val="16"/>
              </w:rPr>
            </w:r>
            <w:r>
              <w:rPr>
                <w:b w:val="0"/>
                <w:sz w:val="16"/>
              </w:rPr>
              <w:t>Identity</w:t>
            </w:r>
          </w:p>
        </w:tc>
        <w:tc>
          <w:tcPr>
            <w:tcW w:type="dxa" w:w="8280"/>
            <w:vAlign w:val="top"/>
            <w:shd w:fill="FFFFFF"/>
          </w:tcPr>
          <w:p>
            <w:pPr/>
            <w:r>
              <w:rPr>
                <w:sz w:val="16"/>
              </w:rPr>
              <w:t>Users start in guest mode, then connect a Nostr identity through a browser signer or approved signing method when a signed action is needed. For iOS/iPadOS Safari, the guided default is Nostash. The app never requests raw private keys.</w:t>
            </w:r>
          </w:p>
        </w:tc>
      </w:tr>
      <w:tr>
        <w:tc>
          <w:tcPr>
            <w:tcW w:type="dxa" w:w="2376"/>
            <w:vAlign w:val="top"/>
            <w:shd w:fill="FFFFFF"/>
          </w:tcPr>
          <w:p>
            <w:pPr>
              <w:spacing w:after="0"/>
            </w:pPr>
            <w:r>
              <w:rPr>
                <w:sz w:val="16"/>
              </w:rPr>
            </w:r>
            <w:r>
              <w:rPr>
                <w:b w:val="0"/>
                <w:sz w:val="16"/>
              </w:rPr>
              <w:t>Fee contribution</w:t>
            </w:r>
          </w:p>
        </w:tc>
        <w:tc>
          <w:tcPr>
            <w:tcW w:type="dxa" w:w="8280"/>
            <w:vAlign w:val="top"/>
            <w:shd w:fill="FFFFFF"/>
          </w:tcPr>
          <w:p>
            <w:pPr>
              <w:spacing w:after="0"/>
            </w:pPr>
            <w:r>
              <w:rPr>
                <w:sz w:val="16"/>
              </w:rPr>
            </w:r>
            <w:r>
              <w:rPr>
                <w:b w:val="0"/>
                <w:sz w:val="16"/>
              </w:rPr>
              <w:t>Registration generates a Bitcoin/Lightning invoice. Payment confirmation updates player/team status.</w:t>
            </w:r>
          </w:p>
        </w:tc>
      </w:tr>
      <w:tr>
        <w:tc>
          <w:tcPr>
            <w:tcW w:type="dxa" w:w="2376"/>
            <w:vAlign w:val="top"/>
            <w:shd w:fill="FFFFFF"/>
          </w:tcPr>
          <w:p>
            <w:pPr>
              <w:spacing w:after="0"/>
            </w:pPr>
            <w:r>
              <w:rPr>
                <w:sz w:val="16"/>
              </w:rPr>
            </w:r>
            <w:r>
              <w:rPr>
                <w:b w:val="0"/>
                <w:sz w:val="16"/>
              </w:rPr>
              <w:t>Team and role assignment</w:t>
            </w:r>
          </w:p>
        </w:tc>
        <w:tc>
          <w:tcPr>
            <w:tcW w:type="dxa" w:w="8280"/>
            <w:vAlign w:val="top"/>
            <w:shd w:fill="FFFFFF"/>
          </w:tcPr>
          <w:p>
            <w:pPr>
              <w:spacing w:after="0"/>
            </w:pPr>
            <w:r>
              <w:rPr>
                <w:sz w:val="16"/>
              </w:rPr>
            </w:r>
            <w:r>
              <w:rPr>
                <w:b w:val="0"/>
                <w:sz w:val="16"/>
              </w:rPr>
              <w:t>Organizers assign players to teams, appoint scorekeepers/markers, and publish schedule.</w:t>
            </w:r>
          </w:p>
        </w:tc>
      </w:tr>
      <w:tr>
        <w:tc>
          <w:tcPr>
            <w:tcW w:type="dxa" w:w="2376"/>
            <w:vAlign w:val="top"/>
            <w:shd w:fill="FFFFFF"/>
          </w:tcPr>
          <w:p>
            <w:pPr>
              <w:spacing w:after="0"/>
            </w:pPr>
            <w:r>
              <w:rPr>
                <w:sz w:val="16"/>
              </w:rPr>
            </w:r>
            <w:r>
              <w:rPr>
                <w:b w:val="0"/>
                <w:sz w:val="16"/>
              </w:rPr>
              <w:t>Course and venue data</w:t>
            </w:r>
          </w:p>
        </w:tc>
        <w:tc>
          <w:tcPr>
            <w:tcW w:type="dxa" w:w="8280"/>
            <w:vAlign w:val="top"/>
            <w:shd w:fill="FFFFFF"/>
          </w:tcPr>
          <w:p>
            <w:pPr>
              <w:spacing w:after="0"/>
            </w:pPr>
            <w:r>
              <w:rPr>
                <w:sz w:val="16"/>
              </w:rPr>
            </w:r>
            <w:r>
              <w:rPr>
                <w:b w:val="0"/>
                <w:sz w:val="16"/>
              </w:rPr>
              <w:t>Users view courses, hotels, meeting points, and logistics locations on open maps.</w:t>
            </w:r>
          </w:p>
        </w:tc>
      </w:tr>
      <w:tr>
        <w:tc>
          <w:tcPr>
            <w:tcW w:type="dxa" w:w="2376"/>
            <w:vAlign w:val="top"/>
            <w:shd w:fill="FFFFFF"/>
          </w:tcPr>
          <w:p>
            <w:pPr>
              <w:spacing w:after="0"/>
            </w:pPr>
            <w:r>
              <w:rPr>
                <w:sz w:val="16"/>
              </w:rPr>
            </w:r>
            <w:r>
              <w:rPr>
                <w:b w:val="0"/>
                <w:sz w:val="16"/>
              </w:rPr>
              <w:t>Scorekeeping</w:t>
            </w:r>
          </w:p>
        </w:tc>
        <w:tc>
          <w:tcPr>
            <w:tcW w:type="dxa" w:w="8280"/>
            <w:vAlign w:val="top"/>
            <w:shd w:fill="FFFFFF"/>
          </w:tcPr>
          <w:p>
            <w:pPr>
              <w:spacing w:after="0"/>
            </w:pPr>
            <w:r>
              <w:rPr>
                <w:sz w:val="16"/>
              </w:rPr>
            </w:r>
            <w:r>
              <w:rPr>
                <w:b w:val="0"/>
                <w:sz w:val="16"/>
              </w:rPr>
              <w:t>Scorekeepers enter official event scores; markers/attesters validate scorecards where needed.</w:t>
            </w:r>
          </w:p>
        </w:tc>
      </w:tr>
      <w:tr>
        <w:tc>
          <w:tcPr>
            <w:tcW w:type="dxa" w:w="2376"/>
            <w:vAlign w:val="top"/>
            <w:shd w:fill="FFFFFF"/>
          </w:tcPr>
          <w:p>
            <w:pPr>
              <w:spacing w:after="0"/>
            </w:pPr>
            <w:r>
              <w:rPr>
                <w:sz w:val="16"/>
              </w:rPr>
            </w:r>
            <w:r>
              <w:rPr>
                <w:b w:val="0"/>
                <w:sz w:val="16"/>
              </w:rPr>
              <w:t>Pre-event scoring</w:t>
            </w:r>
          </w:p>
        </w:tc>
        <w:tc>
          <w:tcPr>
            <w:tcW w:type="dxa" w:w="8280"/>
            <w:vAlign w:val="top"/>
            <w:shd w:fill="FFFFFF"/>
          </w:tcPr>
          <w:p>
            <w:pPr>
              <w:spacing w:after="0"/>
            </w:pPr>
            <w:r>
              <w:rPr>
                <w:sz w:val="16"/>
              </w:rPr>
            </w:r>
            <w:r>
              <w:rPr>
                <w:b w:val="0"/>
                <w:sz w:val="16"/>
              </w:rPr>
              <w:t>Players can log practice/qualification scores before the event, subject to attestation rules.</w:t>
            </w:r>
          </w:p>
        </w:tc>
      </w:tr>
      <w:tr>
        <w:tc>
          <w:tcPr>
            <w:tcW w:type="dxa" w:w="2376"/>
            <w:vAlign w:val="top"/>
            <w:shd w:fill="FFFFFF"/>
          </w:tcPr>
          <w:p>
            <w:pPr>
              <w:spacing w:after="0"/>
            </w:pPr>
            <w:r>
              <w:rPr>
                <w:sz w:val="16"/>
              </w:rPr>
            </w:r>
            <w:r>
              <w:rPr>
                <w:b w:val="0"/>
                <w:sz w:val="16"/>
              </w:rPr>
              <w:t>Live scoreboard</w:t>
            </w:r>
          </w:p>
        </w:tc>
        <w:tc>
          <w:tcPr>
            <w:tcW w:type="dxa" w:w="8280"/>
            <w:vAlign w:val="top"/>
            <w:shd w:fill="FFFFFF"/>
          </w:tcPr>
          <w:p>
            <w:pPr>
              <w:spacing w:after="0"/>
            </w:pPr>
            <w:r>
              <w:rPr>
                <w:sz w:val="16"/>
              </w:rPr>
            </w:r>
            <w:r>
              <w:rPr>
                <w:b w:val="0"/>
                <w:sz w:val="16"/>
              </w:rPr>
              <w:t>Fans and players view standings, updates, achievements, and public score posts.</w:t>
            </w:r>
          </w:p>
        </w:tc>
      </w:tr>
      <w:tr>
        <w:tc>
          <w:tcPr>
            <w:tcW w:type="dxa" w:w="2376"/>
            <w:vAlign w:val="top"/>
            <w:shd w:fill="FFFFFF"/>
          </w:tcPr>
          <w:p>
            <w:pPr>
              <w:spacing w:after="0"/>
            </w:pPr>
            <w:r>
              <w:rPr>
                <w:sz w:val="16"/>
              </w:rPr>
            </w:r>
            <w:r>
              <w:rPr>
                <w:b w:val="0"/>
                <w:sz w:val="16"/>
              </w:rPr>
              <w:t>Wallet actions</w:t>
            </w:r>
          </w:p>
        </w:tc>
        <w:tc>
          <w:tcPr>
            <w:tcW w:type="dxa" w:w="8280"/>
            <w:vAlign w:val="top"/>
            <w:shd w:fill="FFFFFF"/>
          </w:tcPr>
          <w:p>
            <w:pPr>
              <w:spacing w:after="0"/>
            </w:pPr>
            <w:r>
              <w:rPr>
                <w:sz w:val="16"/>
              </w:rPr>
            </w:r>
            <w:r>
              <w:rPr>
                <w:b w:val="0"/>
                <w:sz w:val="16"/>
              </w:rPr>
              <w:t>Users connect wallets for fees, zaps, and rewards through NWC/approved open protocols.</w:t>
            </w:r>
          </w:p>
        </w:tc>
      </w:tr>
      <w:tr>
        <w:tc>
          <w:tcPr>
            <w:tcW w:type="dxa" w:w="2376"/>
            <w:vAlign w:val="top"/>
            <w:shd w:fill="FFFFFF"/>
          </w:tcPr>
          <w:p>
            <w:pPr>
              <w:spacing w:after="0"/>
            </w:pPr>
            <w:r>
              <w:rPr>
                <w:sz w:val="16"/>
              </w:rPr>
            </w:r>
            <w:r>
              <w:rPr>
                <w:b w:val="0"/>
                <w:sz w:val="16"/>
              </w:rPr>
              <w:t>Course data contribution</w:t>
            </w:r>
          </w:p>
        </w:tc>
        <w:tc>
          <w:tcPr>
            <w:tcW w:type="dxa" w:w="8280"/>
            <w:vAlign w:val="top"/>
            <w:shd w:fill="FFFFFF"/>
          </w:tcPr>
          <w:p>
            <w:pPr>
              <w:spacing w:after="0"/>
            </w:pPr>
            <w:r>
              <w:rPr>
                <w:sz w:val="16"/>
              </w:rPr>
            </w:r>
            <w:r>
              <w:rPr>
                <w:b w:val="0"/>
                <w:sz w:val="16"/>
              </w:rPr>
              <w:t>Users propose corrections, enrichments, ratings, and evidence; maintainers review scoring-critical changes.</w:t>
            </w:r>
          </w:p>
        </w:tc>
      </w:tr>
    </w:tbl>
    <w:p>
      <w:pPr>
        <w:pStyle w:val="Heading2"/>
      </w:pPr>
      <w:r>
        <w:rPr>
          <w:b/>
        </w:rPr>
        <w:t>Normie Nostr onboarding and Nostash signer path</w:t>
      </w:r>
    </w:p>
    <w:p>
      <w:pPr/>
      <w:r>
        <w:rPr>
          <w:sz w:val="18"/>
        </w:rPr>
        <w:t>Onboarding should treat Nostr signing as an unlock step, not as homework before a user can see the product. Guests can browse the Cup, course information, schedule, public standings, and public updates. The PWA asks for secure signing only when a user tries to join, submit, attest, publish, encrypt, or claim something valuable.</w:t>
      </w:r>
    </w:p>
    <w:tbl>
      <w:tblPr>
        <w:tblStyle w:val="TableGrid"/>
        <w:tblW w:type="auto" w:w="0"/>
        <w:tblLayout w:type="autofit"/>
        <w:tblLook w:firstColumn="1" w:firstRow="1" w:lastColumn="0" w:lastRow="0" w:noHBand="0" w:noVBand="1" w:val="04A0"/>
      </w:tblPr>
      <w:tblGrid>
        <w:gridCol w:w="10368"/>
      </w:tblGrid>
      <w:tr>
        <w:tc>
          <w:tcPr>
            <w:tcW w:type="dxa" w:w="10368"/>
            <w:shd w:fill="FFF3E0"/>
          </w:tcPr>
          <w:p>
            <w:pPr/>
            <w:r>
              <w:rPr>
                <w:b/>
                <w:color w:val="1F1F2E"/>
                <w:sz w:val="16"/>
              </w:rPr>
              <w:t>Recommended MVP stance</w:t>
              <w:br/>
              <w:t>Use a guest-first funnel. For iPhone and iPad users in Safari, guide them to Nostash as the default secure signing path. Nostash is a NIP-07-compatible Safari extension for signing Nostr events on iPhone, iPad, and Mac. The app must still detect actual signer availability with window.nostr and handle unsupported Safari, standalone Home Screen PWA, Android, and desktop cases gracefully.</w:t>
            </w:r>
          </w:p>
        </w:tc>
      </w:tr>
    </w:tbl>
    <w:tbl>
      <w:tblPr>
        <w:tblStyle w:val="TableGrid"/>
        <w:tblW w:type="auto" w:w="0"/>
        <w:tblLayout w:type="autofit"/>
        <w:tblLook w:firstColumn="1" w:firstRow="1" w:lastColumn="0" w:lastRow="0" w:noHBand="0" w:noVBand="1" w:val="04A0"/>
      </w:tblPr>
      <w:tblGrid>
        <w:gridCol w:w="5184"/>
        <w:gridCol w:w="5184"/>
      </w:tblGrid>
      <w:tr>
        <w:tc>
          <w:tcPr>
            <w:tcW w:type="dxa" w:w="5184"/>
            <w:shd w:fill="4B1D83"/>
          </w:tcPr>
          <w:p>
            <w:pPr/>
            <w:r>
              <w:rPr>
                <w:b/>
                <w:color w:val="FFFFFF"/>
                <w:sz w:val="16"/>
              </w:rPr>
              <w:t>State</w:t>
            </w:r>
          </w:p>
        </w:tc>
        <w:tc>
          <w:tcPr>
            <w:tcW w:type="dxa" w:w="5184"/>
            <w:shd w:fill="4B1D83"/>
          </w:tcPr>
          <w:p>
            <w:pPr/>
            <w:r>
              <w:rPr>
                <w:b/>
                <w:color w:val="FFFFFF"/>
                <w:sz w:val="16"/>
              </w:rPr>
              <w:t>UX behavior</w:t>
            </w:r>
          </w:p>
        </w:tc>
      </w:tr>
      <w:tr>
        <w:tc>
          <w:tcPr>
            <w:tcW w:type="dxa" w:w="5184"/>
            <w:shd w:fill="FFFFFF"/>
          </w:tcPr>
          <w:p>
            <w:pPr/>
            <w:r>
              <w:rPr>
                <w:sz w:val="16"/>
              </w:rPr>
              <w:t>Guest entry</w:t>
            </w:r>
          </w:p>
        </w:tc>
        <w:tc>
          <w:tcPr>
            <w:tcW w:type="dxa" w:w="5184"/>
            <w:shd w:fill="FFFFFF"/>
          </w:tcPr>
          <w:p>
            <w:pPr/>
            <w:r>
              <w:rPr>
                <w:sz w:val="16"/>
              </w:rPr>
              <w:t>Allow browsing, event information, course/venue details, public scoreboard, and public updates without a signer.</w:t>
            </w:r>
          </w:p>
        </w:tc>
      </w:tr>
      <w:tr>
        <w:tc>
          <w:tcPr>
            <w:tcW w:type="dxa" w:w="5184"/>
            <w:shd w:fill="FFFFFF"/>
          </w:tcPr>
          <w:p>
            <w:pPr/>
            <w:r>
              <w:rPr>
                <w:sz w:val="16"/>
              </w:rPr>
              <w:t>Signed action requested</w:t>
            </w:r>
          </w:p>
        </w:tc>
        <w:tc>
          <w:tcPr>
            <w:tcW w:type="dxa" w:w="5184"/>
            <w:shd w:fill="FFFFFF"/>
          </w:tcPr>
          <w:p>
            <w:pPr/>
            <w:r>
              <w:rPr>
                <w:sz w:val="16"/>
              </w:rPr>
              <w:t>Show an "Unlock full features" modal. Explain that a secure signing app signs actions while the private key stays on the user device. Avoid NIP jargon in primary copy.</w:t>
            </w:r>
          </w:p>
        </w:tc>
      </w:tr>
      <w:tr>
        <w:tc>
          <w:tcPr>
            <w:tcW w:type="dxa" w:w="5184"/>
            <w:shd w:fill="FFFFFF"/>
          </w:tcPr>
          <w:p>
            <w:pPr/>
            <w:r>
              <w:rPr>
                <w:sz w:val="16"/>
              </w:rPr>
              <w:t>iOS/iPadOS Safari, no signer</w:t>
            </w:r>
          </w:p>
        </w:tc>
        <w:tc>
          <w:tcPr>
            <w:tcW w:type="dxa" w:w="5184"/>
            <w:shd w:fill="FFFFFF"/>
          </w:tcPr>
          <w:p>
            <w:pPr/>
            <w:r>
              <w:rPr>
                <w:sz w:val="16"/>
              </w:rPr>
              <w:t>Recommend Nostash. Steps: install Nostash, open it once, enable the Safari extension, return to the PWA, tap Connect.</w:t>
            </w:r>
          </w:p>
        </w:tc>
      </w:tr>
      <w:tr>
        <w:tc>
          <w:tcPr>
            <w:tcW w:type="dxa" w:w="5184"/>
            <w:shd w:fill="FFFFFF"/>
          </w:tcPr>
          <w:p>
            <w:pPr/>
            <w:r>
              <w:rPr>
                <w:sz w:val="16"/>
              </w:rPr>
              <w:t>Signer available</w:t>
            </w:r>
          </w:p>
        </w:tc>
        <w:tc>
          <w:tcPr>
            <w:tcW w:type="dxa" w:w="5184"/>
            <w:shd w:fill="FFFFFF"/>
          </w:tcPr>
          <w:p>
            <w:pPr/>
            <w:r>
              <w:rPr>
                <w:sz w:val="16"/>
              </w:rPr>
              <w:t>Call getPublicKey, request a server-issued auth challenge, sign it, verify the signature server-side, then unlock role-appropriate features.</w:t>
            </w:r>
          </w:p>
        </w:tc>
      </w:tr>
      <w:tr>
        <w:tc>
          <w:tcPr>
            <w:tcW w:type="dxa" w:w="5184"/>
            <w:shd w:fill="FFFFFF"/>
          </w:tcPr>
          <w:p>
            <w:pPr/>
            <w:r>
              <w:rPr>
                <w:sz w:val="16"/>
              </w:rPr>
              <w:t>Home Screen PWA on iOS</w:t>
            </w:r>
          </w:p>
        </w:tc>
        <w:tc>
          <w:tcPr>
            <w:tcW w:type="dxa" w:w="5184"/>
            <w:shd w:fill="FFFFFF"/>
          </w:tcPr>
          <w:p>
            <w:pPr/>
            <w:r>
              <w:rPr>
                <w:sz w:val="16"/>
              </w:rPr>
              <w:t>Explicitly test whether the Safari extension exposes window.nostr in standalone mode. If not, show "Open in Safari to connect securely with Nostash."</w:t>
            </w:r>
          </w:p>
        </w:tc>
      </w:tr>
      <w:tr>
        <w:tc>
          <w:tcPr>
            <w:tcW w:type="dxa" w:w="5184"/>
            <w:shd w:fill="FFFFFF"/>
          </w:tcPr>
          <w:p>
            <w:pPr/>
            <w:r>
              <w:rPr>
                <w:sz w:val="16"/>
              </w:rPr>
              <w:t>Unsupported device/version</w:t>
            </w:r>
          </w:p>
        </w:tc>
        <w:tc>
          <w:tcPr>
            <w:tcW w:type="dxa" w:w="5184"/>
            <w:shd w:fill="FFFFFF"/>
          </w:tcPr>
          <w:p>
            <w:pPr/>
            <w:r>
              <w:rPr>
                <w:sz w:val="16"/>
              </w:rPr>
              <w:t>Keep guest mode available. Offer desktop NIP-07, future NIP-46 remote signer, Android/NIP-55 evaluation, or organizer-assisted fallback registration.</w:t>
            </w:r>
          </w:p>
        </w:tc>
      </w:tr>
      <w:tr>
        <w:tc>
          <w:tcPr>
            <w:tcW w:type="dxa" w:w="5184"/>
            <w:shd w:fill="FFFFFF"/>
          </w:tcPr>
          <w:p>
            <w:pPr/>
            <w:r>
              <w:rPr>
                <w:sz w:val="16"/>
              </w:rPr>
              <w:t>Encrypted/private features</w:t>
            </w:r>
          </w:p>
        </w:tc>
        <w:tc>
          <w:tcPr>
            <w:tcW w:type="dxa" w:w="5184"/>
            <w:shd w:fill="FFFFFF"/>
          </w:tcPr>
          <w:p>
            <w:pPr/>
            <w:r>
              <w:rPr>
                <w:sz w:val="16"/>
              </w:rPr>
              <w:t>Require a signer that supports NIP-44 encryption/decryption. Hide or degrade private features when encryption capability is unavailable.</w:t>
            </w:r>
          </w:p>
        </w:tc>
      </w:tr>
    </w:tbl>
    <w:tbl>
      <w:tblPr>
        <w:tblStyle w:val="TableGrid"/>
        <w:tblW w:type="auto" w:w="0"/>
        <w:tblLayout w:type="autofit"/>
        <w:tblLook w:firstColumn="1" w:firstRow="1" w:lastColumn="0" w:lastRow="0" w:noHBand="0" w:noVBand="1" w:val="04A0"/>
      </w:tblPr>
      <w:tblGrid>
        <w:gridCol w:w="5184"/>
        <w:gridCol w:w="5184"/>
      </w:tblGrid>
      <w:tr>
        <w:tc>
          <w:tcPr>
            <w:tcW w:type="dxa" w:w="5184"/>
            <w:shd w:fill="4B1D83"/>
          </w:tcPr>
          <w:p>
            <w:pPr/>
            <w:r>
              <w:rPr>
                <w:b/>
                <w:color w:val="FFFFFF"/>
                <w:sz w:val="16"/>
              </w:rPr>
              <w:t>Feature/action</w:t>
            </w:r>
          </w:p>
        </w:tc>
        <w:tc>
          <w:tcPr>
            <w:tcW w:type="dxa" w:w="5184"/>
            <w:shd w:fill="4B1D83"/>
          </w:tcPr>
          <w:p>
            <w:pPr/>
            <w:r>
              <w:rPr>
                <w:b/>
                <w:color w:val="FFFFFF"/>
                <w:sz w:val="16"/>
              </w:rPr>
              <w:t>Signer requirement</w:t>
            </w:r>
          </w:p>
        </w:tc>
      </w:tr>
      <w:tr>
        <w:tc>
          <w:tcPr>
            <w:tcW w:type="dxa" w:w="5184"/>
            <w:shd w:fill="FFFFFF"/>
          </w:tcPr>
          <w:p>
            <w:pPr/>
            <w:r>
              <w:rPr>
                <w:sz w:val="16"/>
              </w:rPr>
              <w:t>Browse public Cup pages</w:t>
            </w:r>
          </w:p>
        </w:tc>
        <w:tc>
          <w:tcPr>
            <w:tcW w:type="dxa" w:w="5184"/>
            <w:shd w:fill="FFFFFF"/>
          </w:tcPr>
          <w:p>
            <w:pPr/>
            <w:r>
              <w:rPr>
                <w:sz w:val="16"/>
              </w:rPr>
              <w:t>No signer required.</w:t>
            </w:r>
          </w:p>
        </w:tc>
      </w:tr>
      <w:tr>
        <w:tc>
          <w:tcPr>
            <w:tcW w:type="dxa" w:w="5184"/>
            <w:shd w:fill="FFFFFF"/>
          </w:tcPr>
          <w:p>
            <w:pPr/>
            <w:r>
              <w:rPr>
                <w:sz w:val="16"/>
              </w:rPr>
              <w:t>Register/join, submit official actions, comment, attest, or publish score events</w:t>
            </w:r>
          </w:p>
        </w:tc>
        <w:tc>
          <w:tcPr>
            <w:tcW w:type="dxa" w:w="5184"/>
            <w:shd w:fill="FFFFFF"/>
          </w:tcPr>
          <w:p>
            <w:pPr/>
            <w:r>
              <w:rPr>
                <w:sz w:val="16"/>
              </w:rPr>
              <w:t>Nostr signer required.</w:t>
            </w:r>
          </w:p>
        </w:tc>
      </w:tr>
      <w:tr>
        <w:tc>
          <w:tcPr>
            <w:tcW w:type="dxa" w:w="5184"/>
            <w:shd w:fill="FFFFFF"/>
          </w:tcPr>
          <w:p>
            <w:pPr/>
            <w:r>
              <w:rPr>
                <w:sz w:val="16"/>
              </w:rPr>
              <w:t>Private/encrypted actions</w:t>
            </w:r>
          </w:p>
        </w:tc>
        <w:tc>
          <w:tcPr>
            <w:tcW w:type="dxa" w:w="5184"/>
            <w:shd w:fill="FFFFFF"/>
          </w:tcPr>
          <w:p>
            <w:pPr/>
            <w:r>
              <w:rPr>
                <w:sz w:val="16"/>
              </w:rPr>
              <w:t>NIP-44-capable signer required.</w:t>
            </w:r>
          </w:p>
        </w:tc>
      </w:tr>
      <w:tr>
        <w:tc>
          <w:tcPr>
            <w:tcW w:type="dxa" w:w="5184"/>
            <w:shd w:fill="FFFFFF"/>
          </w:tcPr>
          <w:p>
            <w:pPr/>
            <w:r>
              <w:rPr>
                <w:sz w:val="16"/>
              </w:rPr>
              <w:t>Claim identity, reputation, rewards, or admin privileges</w:t>
            </w:r>
          </w:p>
        </w:tc>
        <w:tc>
          <w:tcPr>
            <w:tcW w:type="dxa" w:w="5184"/>
            <w:shd w:fill="FFFFFF"/>
          </w:tcPr>
          <w:p>
            <w:pPr/>
            <w:r>
              <w:rPr>
                <w:sz w:val="16"/>
              </w:rPr>
              <w:t>Signed challenge and verified public key required.</w:t>
            </w:r>
          </w:p>
        </w:tc>
      </w:tr>
    </w:tbl>
    <w:p>
      <w:pPr/>
      <w:r>
        <w:rPr>
          <w:sz w:val="18"/>
        </w:rPr>
        <w:t>Implementation references to preserve: Nostash repository, NIP-07 browser signer interface, NIP-46 remote signing, and NIP-55 Android signer flows.</w:t>
      </w:r>
    </w:p>
    <w:p/>
    <w:tbl>
      <w:tblPr>
        <w:tblStyle w:val="TableGrid"/>
        <w:tblW w:type="auto" w:w="0"/>
        <w:tblLook w:firstColumn="1" w:firstRow="1" w:lastColumn="0" w:lastRow="0" w:noHBand="0" w:noVBand="1" w:val="04A0"/>
      </w:tblPr>
      <w:tblGrid>
        <w:gridCol w:w="10368"/>
      </w:tblGrid>
      <w:tr>
        <w:tc>
          <w:tcPr>
            <w:tcW w:type="dxa" w:w="10368"/>
            <w:shd w:fill="EFE8F7"/>
          </w:tcPr>
          <w:p>
            <w:pPr>
              <w:spacing w:after="60"/>
            </w:pPr>
            <w:r>
              <w:rPr>
                <w:b/>
                <w:color w:val="4B1D83"/>
                <w:sz w:val="21"/>
              </w:rPr>
              <w:t>Scorekeeping design stance</w:t>
            </w:r>
          </w:p>
          <w:p>
            <w:pPr>
              <w:spacing w:after="0"/>
            </w:pPr>
            <w:r>
              <w:rPr>
                <w:sz w:val="19"/>
              </w:rPr>
              <w:t>The app is optional for players but mandatory for official scorekeeping/marker roles. This is the right operational compromise: tournament scoring remains reliable without forcing every participant through app onboarding during a live round.</w:t>
            </w:r>
          </w:p>
        </w:tc>
        <w:trPr>
          <w:tblHeader/>
        </w:trPr>
      </w:tr>
    </w:tbl>
    <w:p/>
    <w:p>
      <w:pPr>
        <w:pStyle w:val="Heading2"/>
        <w:keepNext/>
      </w:pPr>
      <w:r>
        <w:t>Future fan engagement boundary</w:t>
      </w:r>
    </w:p>
    <w:p>
      <w:pPr>
        <w:pStyle w:val="ListBullet"/>
        <w:spacing w:after="40"/>
      </w:pPr>
      <w:r>
        <w:t>Achievements, milestones, badges, zaps, public score posts, and team points are strong early enhancements.</w:t>
      </w:r>
    </w:p>
    <w:p>
      <w:pPr>
        <w:pStyle w:val="ListBullet"/>
        <w:spacing w:after="40"/>
      </w:pPr>
      <w:r>
        <w:t>Prediction or betting-style markets remain excluded from MVP and require a separate legal/compliance ADR before any implementation.</w:t>
      </w:r>
    </w:p>
    <w:p>
      <w:pPr>
        <w:pStyle w:val="ListBullet"/>
        <w:spacing w:after="40"/>
      </w:pPr>
      <w:r>
        <w:t>Sats rewards can be useful, but only with budget caps, anti-abuse controls, tax/legal review, and explicit funding rules.</w:t>
      </w:r>
    </w:p>
    <w:p>
      <w:pPr>
        <w:pStyle w:val="Heading1"/>
        <w:keepNext/>
      </w:pPr>
      <w:r>
        <w:t>8. MVP definition and scope</w:t>
      </w:r>
    </w:p>
    <w:tbl>
      <w:tblPr>
        <w:tblStyle w:val="TableGrid"/>
        <w:tblW w:type="auto" w:w="0"/>
        <w:tblLook w:firstColumn="1" w:firstRow="1" w:lastColumn="0" w:lastRow="0" w:noHBand="0" w:noVBand="1" w:val="04A0"/>
      </w:tblPr>
      <w:tblGrid>
        <w:gridCol w:w="10368"/>
      </w:tblGrid>
      <w:tr>
        <w:tc>
          <w:tcPr>
            <w:tcW w:type="dxa" w:w="10368"/>
            <w:shd w:fill="FFF2E2"/>
          </w:tcPr>
          <w:p>
            <w:pPr>
              <w:spacing w:after="60"/>
            </w:pPr>
            <w:r>
              <w:rPr>
                <w:b/>
                <w:color w:val="F7931A"/>
                <w:sz w:val="21"/>
              </w:rPr>
              <w:t>MVP target</w:t>
            </w:r>
          </w:p>
          <w:p>
            <w:pPr>
              <w:spacing w:after="0"/>
            </w:pPr>
            <w:r>
              <w:rPr>
                <w:sz w:val="19"/>
              </w:rPr>
              <w:t>Prove that the Ride or Die Cup can be run on open, Bitcoin-native, Nostr-native software with real registration, payment state, scorekeeping, standings, and reviewable operational logs.</w:t>
            </w:r>
          </w:p>
        </w:tc>
        <w:trPr>
          <w:tblHeader/>
        </w:trPr>
      </w:tr>
    </w:tbl>
    <w:p/>
    <w:p>
      <w:pPr>
        <w:pStyle w:val="Heading2"/>
        <w:keepNext/>
      </w:pPr>
      <w:r>
        <w:t>MVP must have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952"/>
            <w:shd w:fill="4B1D83"/>
            <w:vAlign w:val="center"/>
          </w:tcPr>
          <w:p>
            <w:pPr>
              <w:spacing w:after="0"/>
            </w:pPr>
            <w:r>
              <w:rPr>
                <w:b/>
                <w:color w:val="FFFFFF"/>
                <w:sz w:val="16"/>
              </w:rPr>
            </w:r>
            <w:r>
              <w:rPr>
                <w:b/>
                <w:color w:val="FFFFFF"/>
                <w:sz w:val="16"/>
              </w:rPr>
              <w:t>Capability</w:t>
            </w:r>
          </w:p>
        </w:tc>
        <w:tc>
          <w:tcPr>
            <w:tcW w:type="dxa" w:w="7704"/>
            <w:shd w:fill="4B1D83"/>
            <w:vAlign w:val="center"/>
          </w:tcPr>
          <w:p>
            <w:pPr>
              <w:spacing w:after="0"/>
            </w:pPr>
            <w:r>
              <w:rPr>
                <w:b/>
                <w:color w:val="FFFFFF"/>
                <w:sz w:val="16"/>
              </w:rPr>
            </w:r>
            <w:r>
              <w:rPr>
                <w:b/>
                <w:color w:val="FFFFFF"/>
                <w:sz w:val="16"/>
              </w:rPr>
              <w:t>MVP meaning</w:t>
            </w:r>
          </w:p>
        </w:tc>
      </w:tr>
      <w:tr>
        <w:tc>
          <w:tcPr>
            <w:tcW w:type="dxa" w:w="2952"/>
            <w:vAlign w:val="top"/>
            <w:shd w:fill="FFFFFF"/>
          </w:tcPr>
          <w:p>
            <w:pPr>
              <w:spacing w:after="0"/>
            </w:pPr>
            <w:r>
              <w:rPr>
                <w:sz w:val="16"/>
              </w:rPr>
            </w:r>
            <w:r>
              <w:rPr>
                <w:b w:val="0"/>
                <w:sz w:val="16"/>
              </w:rPr>
              <w:t>Nostr identity association</w:t>
            </w:r>
          </w:p>
        </w:tc>
        <w:tc>
          <w:tcPr>
            <w:tcW w:type="dxa" w:w="7704"/>
            <w:vAlign w:val="top"/>
            <w:shd w:fill="FFFFFF"/>
          </w:tcPr>
          <w:p>
            <w:pPr/>
            <w:r>
              <w:rPr>
                <w:sz w:val="16"/>
              </w:rPr>
              <w:t>Users can identify by Nostr public key, connect through a NIP-07 signer, and pass a server-issued auth challenge. Nostash is the recommended iOS/iPadOS Safari path; organizer-assisted fallback registration remains available for non-technical participants.</w:t>
            </w:r>
          </w:p>
        </w:tc>
      </w:tr>
      <w:tr>
        <w:tc>
          <w:tcPr>
            <w:tcW w:type="dxa" w:w="2952"/>
            <w:vAlign w:val="top"/>
            <w:shd w:fill="FFFFFF"/>
          </w:tcPr>
          <w:p>
            <w:pPr>
              <w:spacing w:after="0"/>
            </w:pPr>
            <w:r>
              <w:rPr>
                <w:sz w:val="16"/>
              </w:rPr>
            </w:r>
            <w:r>
              <w:rPr>
                <w:b w:val="0"/>
                <w:sz w:val="16"/>
              </w:rPr>
              <w:t>Tournament registration</w:t>
            </w:r>
          </w:p>
        </w:tc>
        <w:tc>
          <w:tcPr>
            <w:tcW w:type="dxa" w:w="7704"/>
            <w:vAlign w:val="top"/>
            <w:shd w:fill="FFFFFF"/>
          </w:tcPr>
          <w:p>
            <w:pPr>
              <w:spacing w:after="0"/>
            </w:pPr>
            <w:r>
              <w:rPr>
                <w:sz w:val="16"/>
              </w:rPr>
            </w:r>
            <w:r>
              <w:rPr>
                <w:b w:val="0"/>
                <w:sz w:val="16"/>
              </w:rPr>
              <w:t>Players and teams can register; organizers can review and correct entries.</w:t>
            </w:r>
          </w:p>
        </w:tc>
      </w:tr>
      <w:tr>
        <w:tc>
          <w:tcPr>
            <w:tcW w:type="dxa" w:w="2952"/>
            <w:vAlign w:val="top"/>
            <w:shd w:fill="FFFFFF"/>
          </w:tcPr>
          <w:p>
            <w:pPr>
              <w:spacing w:after="0"/>
            </w:pPr>
            <w:r>
              <w:rPr>
                <w:sz w:val="16"/>
              </w:rPr>
            </w:r>
            <w:r>
              <w:rPr>
                <w:b w:val="0"/>
                <w:sz w:val="16"/>
              </w:rPr>
              <w:t>Bitcoin/Lightning fee status</w:t>
            </w:r>
          </w:p>
        </w:tc>
        <w:tc>
          <w:tcPr>
            <w:tcW w:type="dxa" w:w="7704"/>
            <w:vAlign w:val="top"/>
            <w:shd w:fill="FFFFFF"/>
          </w:tcPr>
          <w:p>
            <w:pPr>
              <w:spacing w:after="0"/>
            </w:pPr>
            <w:r>
              <w:rPr>
                <w:sz w:val="16"/>
              </w:rPr>
            </w:r>
            <w:r>
              <w:rPr>
                <w:b w:val="0"/>
                <w:sz w:val="16"/>
              </w:rPr>
              <w:t>Fee requests, payment states, and reconciliation are tracked. BTCPay/NWC adapters are expected paths.</w:t>
            </w:r>
          </w:p>
        </w:tc>
      </w:tr>
      <w:tr>
        <w:tc>
          <w:tcPr>
            <w:tcW w:type="dxa" w:w="2952"/>
            <w:vAlign w:val="top"/>
            <w:shd w:fill="FFFFFF"/>
          </w:tcPr>
          <w:p>
            <w:pPr>
              <w:spacing w:after="0"/>
            </w:pPr>
            <w:r>
              <w:rPr>
                <w:sz w:val="16"/>
              </w:rPr>
            </w:r>
            <w:r>
              <w:rPr>
                <w:b w:val="0"/>
                <w:sz w:val="16"/>
              </w:rPr>
              <w:t>Roles and permissions</w:t>
            </w:r>
          </w:p>
        </w:tc>
        <w:tc>
          <w:tcPr>
            <w:tcW w:type="dxa" w:w="7704"/>
            <w:vAlign w:val="top"/>
            <w:shd w:fill="FFFFFF"/>
          </w:tcPr>
          <w:p>
            <w:pPr>
              <w:spacing w:after="0"/>
            </w:pPr>
            <w:r>
              <w:rPr>
                <w:sz w:val="16"/>
              </w:rPr>
            </w:r>
            <w:r>
              <w:rPr>
                <w:b w:val="0"/>
                <w:sz w:val="16"/>
              </w:rPr>
              <w:t>Organizer, player, team manager, scorekeeper, marker/attester, fan roles exist with appropriate access.</w:t>
            </w:r>
          </w:p>
        </w:tc>
      </w:tr>
      <w:tr>
        <w:tc>
          <w:tcPr>
            <w:tcW w:type="dxa" w:w="2952"/>
            <w:vAlign w:val="top"/>
            <w:shd w:fill="FFFFFF"/>
          </w:tcPr>
          <w:p>
            <w:pPr>
              <w:spacing w:after="0"/>
            </w:pPr>
            <w:r>
              <w:rPr>
                <w:sz w:val="16"/>
              </w:rPr>
            </w:r>
            <w:r>
              <w:rPr>
                <w:b w:val="0"/>
                <w:sz w:val="16"/>
              </w:rPr>
              <w:t>Scorekeeper workflow</w:t>
            </w:r>
          </w:p>
        </w:tc>
        <w:tc>
          <w:tcPr>
            <w:tcW w:type="dxa" w:w="7704"/>
            <w:vAlign w:val="top"/>
            <w:shd w:fill="FFFFFF"/>
          </w:tcPr>
          <w:p>
            <w:pPr>
              <w:spacing w:after="0"/>
            </w:pPr>
            <w:r>
              <w:rPr>
                <w:sz w:val="16"/>
              </w:rPr>
            </w:r>
            <w:r>
              <w:rPr>
                <w:b w:val="0"/>
                <w:sz w:val="16"/>
              </w:rPr>
              <w:t>Official score entry with validation, edit trail, and submission confirmation.</w:t>
            </w:r>
          </w:p>
        </w:tc>
      </w:tr>
      <w:tr>
        <w:tc>
          <w:tcPr>
            <w:tcW w:type="dxa" w:w="2952"/>
            <w:vAlign w:val="top"/>
            <w:shd w:fill="FFFFFF"/>
          </w:tcPr>
          <w:p>
            <w:pPr>
              <w:spacing w:after="0"/>
            </w:pPr>
            <w:r>
              <w:rPr>
                <w:sz w:val="16"/>
              </w:rPr>
            </w:r>
            <w:r>
              <w:rPr>
                <w:b w:val="0"/>
                <w:sz w:val="16"/>
              </w:rPr>
              <w:t>Attestation baseline</w:t>
            </w:r>
          </w:p>
        </w:tc>
        <w:tc>
          <w:tcPr>
            <w:tcW w:type="dxa" w:w="7704"/>
            <w:vAlign w:val="top"/>
            <w:shd w:fill="FFFFFF"/>
          </w:tcPr>
          <w:p>
            <w:pPr>
              <w:spacing w:after="0"/>
            </w:pPr>
            <w:r>
              <w:rPr>
                <w:sz w:val="16"/>
              </w:rPr>
            </w:r>
            <w:r>
              <w:rPr>
                <w:b w:val="0"/>
                <w:sz w:val="16"/>
              </w:rPr>
              <w:t>Scorecard validity can be attested by authorized marker/organizer identities; timestamp anchoring remains optional.</w:t>
            </w:r>
          </w:p>
        </w:tc>
      </w:tr>
      <w:tr>
        <w:tc>
          <w:tcPr>
            <w:tcW w:type="dxa" w:w="2952"/>
            <w:vAlign w:val="top"/>
            <w:shd w:fill="FFFFFF"/>
          </w:tcPr>
          <w:p>
            <w:pPr>
              <w:spacing w:after="0"/>
            </w:pPr>
            <w:r>
              <w:rPr>
                <w:sz w:val="16"/>
              </w:rPr>
            </w:r>
            <w:r>
              <w:rPr>
                <w:b w:val="0"/>
                <w:sz w:val="16"/>
              </w:rPr>
              <w:t>Live standings</w:t>
            </w:r>
          </w:p>
        </w:tc>
        <w:tc>
          <w:tcPr>
            <w:tcW w:type="dxa" w:w="7704"/>
            <w:vAlign w:val="top"/>
            <w:shd w:fill="FFFFFF"/>
          </w:tcPr>
          <w:p>
            <w:pPr>
              <w:spacing w:after="0"/>
            </w:pPr>
            <w:r>
              <w:rPr>
                <w:sz w:val="16"/>
              </w:rPr>
            </w:r>
            <w:r>
              <w:rPr>
                <w:b w:val="0"/>
                <w:sz w:val="16"/>
              </w:rPr>
              <w:t>Public read-only scoreboard or standings view updates from accepted score state.</w:t>
            </w:r>
          </w:p>
        </w:tc>
      </w:tr>
      <w:tr>
        <w:tc>
          <w:tcPr>
            <w:tcW w:type="dxa" w:w="2952"/>
            <w:vAlign w:val="top"/>
            <w:shd w:fill="FFFFFF"/>
          </w:tcPr>
          <w:p>
            <w:pPr>
              <w:spacing w:after="0"/>
            </w:pPr>
            <w:r>
              <w:rPr>
                <w:sz w:val="16"/>
              </w:rPr>
            </w:r>
            <w:r>
              <w:rPr>
                <w:b w:val="0"/>
                <w:sz w:val="16"/>
              </w:rPr>
              <w:t>Course data baseline</w:t>
            </w:r>
          </w:p>
        </w:tc>
        <w:tc>
          <w:tcPr>
            <w:tcW w:type="dxa" w:w="7704"/>
            <w:vAlign w:val="top"/>
            <w:shd w:fill="FFFFFF"/>
          </w:tcPr>
          <w:p>
            <w:pPr>
              <w:spacing w:after="0"/>
            </w:pPr>
            <w:r>
              <w:rPr>
                <w:sz w:val="16"/>
              </w:rPr>
            </w:r>
            <w:r>
              <w:rPr>
                <w:b w:val="0"/>
                <w:sz w:val="16"/>
              </w:rPr>
              <w:t>Manual course creation/import with source/license tracking, verification status, and correction proposals.</w:t>
            </w:r>
          </w:p>
        </w:tc>
      </w:tr>
      <w:tr>
        <w:tc>
          <w:tcPr>
            <w:tcW w:type="dxa" w:w="2952"/>
            <w:vAlign w:val="top"/>
            <w:shd w:fill="FFFFFF"/>
          </w:tcPr>
          <w:p>
            <w:pPr>
              <w:spacing w:after="0"/>
            </w:pPr>
            <w:r>
              <w:rPr>
                <w:sz w:val="16"/>
              </w:rPr>
            </w:r>
            <w:r>
              <w:rPr>
                <w:b w:val="0"/>
                <w:sz w:val="16"/>
              </w:rPr>
              <w:t>PWA client</w:t>
            </w:r>
          </w:p>
        </w:tc>
        <w:tc>
          <w:tcPr>
            <w:tcW w:type="dxa" w:w="7704"/>
            <w:vAlign w:val="top"/>
            <w:shd w:fill="FFFFFF"/>
          </w:tcPr>
          <w:p>
            <w:pPr>
              <w:spacing w:after="0"/>
            </w:pPr>
            <w:r>
              <w:rPr>
                <w:sz w:val="16"/>
              </w:rPr>
            </w:r>
            <w:r>
              <w:rPr>
                <w:b w:val="0"/>
                <w:sz w:val="16"/>
              </w:rPr>
              <w:t>Responsive browser client, installable where possible, with offline-tolerant scoring direction.</w:t>
            </w:r>
          </w:p>
        </w:tc>
      </w:tr>
      <w:tr>
        <w:tc>
          <w:tcPr>
            <w:tcW w:type="dxa" w:w="2952"/>
            <w:vAlign w:val="top"/>
            <w:shd w:fill="FFFFFF"/>
          </w:tcPr>
          <w:p>
            <w:pPr>
              <w:spacing w:after="0"/>
            </w:pPr>
            <w:r>
              <w:rPr>
                <w:sz w:val="16"/>
              </w:rPr>
            </w:r>
            <w:r>
              <w:rPr>
                <w:b w:val="0"/>
                <w:sz w:val="16"/>
              </w:rPr>
              <w:t>Accessibility baseline</w:t>
            </w:r>
          </w:p>
        </w:tc>
        <w:tc>
          <w:tcPr>
            <w:tcW w:type="dxa" w:w="7704"/>
            <w:vAlign w:val="top"/>
            <w:shd w:fill="FFFFFF"/>
          </w:tcPr>
          <w:p>
            <w:pPr>
              <w:spacing w:after="0"/>
            </w:pPr>
            <w:r>
              <w:rPr>
                <w:sz w:val="16"/>
              </w:rPr>
            </w:r>
            <w:r>
              <w:rPr>
                <w:b w:val="0"/>
                <w:sz w:val="16"/>
              </w:rPr>
              <w:t>Keyboard, labels, contrast, focus, readable errors, mobile touch targets.</w:t>
            </w:r>
          </w:p>
        </w:tc>
      </w:tr>
      <w:tr>
        <w:tc>
          <w:tcPr>
            <w:tcW w:type="dxa" w:w="2952"/>
            <w:vAlign w:val="top"/>
            <w:shd w:fill="FFFFFF"/>
          </w:tcPr>
          <w:p>
            <w:pPr>
              <w:spacing w:after="0"/>
            </w:pPr>
            <w:r>
              <w:rPr>
                <w:sz w:val="16"/>
              </w:rPr>
            </w:r>
            <w:r>
              <w:rPr>
                <w:b w:val="0"/>
                <w:sz w:val="16"/>
              </w:rPr>
              <w:t>Repo governance</w:t>
            </w:r>
          </w:p>
        </w:tc>
        <w:tc>
          <w:tcPr>
            <w:tcW w:type="dxa" w:w="7704"/>
            <w:vAlign w:val="top"/>
            <w:shd w:fill="FFFFFF"/>
          </w:tcPr>
          <w:p>
            <w:pPr>
              <w:spacing w:after="0"/>
            </w:pPr>
            <w:r>
              <w:rPr>
                <w:sz w:val="16"/>
              </w:rPr>
            </w:r>
            <w:r>
              <w:rPr>
                <w:b w:val="0"/>
                <w:sz w:val="16"/>
              </w:rPr>
              <w:t>README, contribution rules, security policy, issue/PR templates, ADRs, CI placeholder, license/security gates.</w:t>
            </w:r>
          </w:p>
        </w:tc>
      </w:tr>
    </w:tbl>
    <w:p/>
    <w:p>
      <w:pPr>
        <w:pStyle w:val="Heading2"/>
        <w:keepNext/>
      </w:pPr>
      <w:r>
        <w:t>Explicitly not in MVP</w:t>
      </w:r>
    </w:p>
    <w:p>
      <w:pPr>
        <w:pStyle w:val="ListBullet"/>
        <w:spacing w:after="40"/>
      </w:pPr>
      <w:r>
        <w:t>Full social network client replacement.</w:t>
      </w:r>
    </w:p>
    <w:p>
      <w:pPr>
        <w:pStyle w:val="ListBullet"/>
        <w:spacing w:after="40"/>
      </w:pPr>
      <w:r>
        <w:t>Multi-season league management.</w:t>
      </w:r>
    </w:p>
    <w:p>
      <w:pPr>
        <w:pStyle w:val="ListBullet"/>
        <w:spacing w:after="40"/>
      </w:pPr>
      <w:r>
        <w:t>Custodial wallet balances, app-held seed phrases, or exchange functionality.</w:t>
      </w:r>
    </w:p>
    <w:p>
      <w:pPr>
        <w:pStyle w:val="ListBullet"/>
        <w:spacing w:after="40"/>
      </w:pPr>
      <w:r>
        <w:t>Complete global golf-course coverage.</w:t>
      </w:r>
    </w:p>
    <w:p>
      <w:pPr>
        <w:pStyle w:val="ListBullet"/>
        <w:spacing w:after="40"/>
      </w:pPr>
      <w:r>
        <w:t>Advanced statistics engine and every possible golf format.</w:t>
      </w:r>
    </w:p>
    <w:p>
      <w:pPr>
        <w:pStyle w:val="ListBullet"/>
        <w:spacing w:after="40"/>
      </w:pPr>
      <w:r>
        <w:t>Native iOS/Android apps.</w:t>
      </w:r>
    </w:p>
    <w:p>
      <w:pPr>
        <w:pStyle w:val="ListBullet"/>
        <w:spacing w:after="40"/>
      </w:pPr>
      <w:r>
        <w:t>Real-money betting or prediction markets.</w:t>
      </w:r>
    </w:p>
    <w:p>
      <w:pPr>
        <w:pStyle w:val="ListBullet"/>
        <w:spacing w:after="40"/>
      </w:pPr>
      <w:r>
        <w:t>Unmoderated automatic edits to scoring-critical course data.</w:t>
      </w:r>
    </w:p>
    <w:p>
      <w:pPr>
        <w:pStyle w:val="Heading1"/>
        <w:keepNext/>
      </w:pPr>
      <w:r>
        <w:t>9. Technical architecture and proposed stack</w:t>
      </w:r>
    </w:p>
    <w:p>
      <w:r>
        <w:rPr>
          <w:sz w:val="18"/>
        </w:rPr>
        <w:t>The implementation architecture is now defined as a Proposed decision set in ADRs 0011-0022. This stack is coherent and implementation-ready, but v0.4 deliberately labels it Proposed until the project team accepts the ADRs.</w:t>
      </w:r>
    </w:p>
    <w:p>
      <w:pPr>
        <w:pStyle w:val="Heading2"/>
        <w:keepNext/>
      </w:pPr>
      <w:r>
        <w:t>High-level architecture</w:t>
      </w:r>
    </w:p>
    <w:tbl>
      <w:tblPr>
        <w:tblStyle w:val="TableGrid"/>
        <w:tblW w:type="auto" w:w="0"/>
        <w:tblLook w:firstColumn="1" w:firstRow="1" w:lastColumn="0" w:lastRow="0" w:noHBand="0" w:noVBand="1" w:val="04A0"/>
      </w:tblPr>
      <w:tblGrid>
        <w:gridCol w:w="10368"/>
      </w:tblGrid>
      <w:tr>
        <w:tc>
          <w:tcPr>
            <w:tcW w:type="dxa" w:w="10368"/>
            <w:shd w:fill="F8FAFC"/>
          </w:tcPr>
          <w:p>
            <w:pPr>
              <w:spacing w:after="0"/>
            </w:pPr>
            <w:r>
              <w:rPr>
                <w:rFonts w:ascii="Courier New" w:hAnsi="Courier New" w:eastAsia="Courier New"/>
                <w:sz w:val="16"/>
              </w:rPr>
              <w:t>Users: players, scorekeepers, markers, organizers, fans, sponsors</w:t>
              <w:br/>
              <w:t xml:space="preserve">        | HTTPS / WSS</w:t>
              <w:br/>
              <w:t xml:space="preserve">        v</w:t>
              <w:br/>
              <w:t>React/Vite PWA + Nostr signing + offline queue</w:t>
              <w:br/>
              <w:t xml:space="preserve">        | REST API / Nostr relay subscriptions / NWC wallet requests</w:t>
              <w:br/>
              <w:t xml:space="preserve">        v</w:t>
              <w:br/>
              <w:t>Node.js/Express API + Prisma</w:t>
              <w:br/>
              <w:t xml:space="preserve">        |                 |                  |</w:t>
              <w:br/>
              <w:t xml:space="preserve">        v                 v                  v</w:t>
              <w:br/>
              <w:t>PostgreSQL        Nostr relays        BTCPay Server / wallets</w:t>
              <w:br/>
              <w:t>Scores, roles,    public score        registration invoices,</w:t>
              <w:br/>
              <w:t>attestations,     events, badges,     zaps, rewards, payment</w:t>
              <w:br/>
              <w:t>payments, audit   attestations        state and reconciliation</w:t>
              <w:br/>
              <w:t xml:space="preserve">        |</w:t>
              <w:br/>
              <w:t xml:space="preserve">        v</w:t>
              <w:br/>
              <w:t>Course data pipeline: OpenGolfAPI, OSM/OSM-derived, manual/community edits</w:t>
            </w:r>
          </w:p>
        </w:tc>
        <w:trPr>
          <w:tblHeader/>
        </w:trPr>
      </w:tr>
    </w:tbl>
    <w:p/>
    <w:p>
      <w:pPr>
        <w:pStyle w:val="Heading2"/>
        <w:keepNext/>
      </w:pPr>
      <w:r>
        <w:t>Proposed stack summary</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448"/>
            <w:shd w:fill="4B1D83"/>
            <w:vAlign w:val="center"/>
          </w:tcPr>
          <w:p>
            <w:pPr>
              <w:spacing w:after="0"/>
            </w:pPr>
            <w:r>
              <w:rPr>
                <w:b/>
                <w:color w:val="FFFFFF"/>
                <w:sz w:val="16"/>
              </w:rPr>
            </w:r>
            <w:r>
              <w:rPr>
                <w:b/>
                <w:color w:val="FFFFFF"/>
                <w:sz w:val="16"/>
              </w:rPr>
              <w:t>Layer</w:t>
            </w:r>
          </w:p>
        </w:tc>
        <w:tc>
          <w:tcPr>
            <w:tcW w:type="dxa" w:w="8208"/>
            <w:shd w:fill="4B1D83"/>
            <w:vAlign w:val="center"/>
          </w:tcPr>
          <w:p>
            <w:pPr>
              <w:spacing w:after="0"/>
            </w:pPr>
            <w:r>
              <w:rPr>
                <w:b/>
                <w:color w:val="FFFFFF"/>
                <w:sz w:val="16"/>
              </w:rPr>
            </w:r>
            <w:r>
              <w:rPr>
                <w:b/>
                <w:color w:val="FFFFFF"/>
                <w:sz w:val="16"/>
              </w:rPr>
              <w:t>Proposed direction</w:t>
            </w:r>
          </w:p>
        </w:tc>
      </w:tr>
      <w:tr>
        <w:tc>
          <w:tcPr>
            <w:tcW w:type="dxa" w:w="2448"/>
            <w:vAlign w:val="top"/>
            <w:shd w:fill="FFFFFF"/>
          </w:tcPr>
          <w:p>
            <w:pPr>
              <w:spacing w:after="0"/>
            </w:pPr>
            <w:r>
              <w:rPr>
                <w:sz w:val="16"/>
              </w:rPr>
            </w:r>
            <w:r>
              <w:rPr>
                <w:b w:val="0"/>
                <w:sz w:val="16"/>
              </w:rPr>
              <w:t>Backend</w:t>
            </w:r>
          </w:p>
        </w:tc>
        <w:tc>
          <w:tcPr>
            <w:tcW w:type="dxa" w:w="8208"/>
            <w:vAlign w:val="top"/>
            <w:shd w:fill="FFFFFF"/>
          </w:tcPr>
          <w:p>
            <w:pPr>
              <w:spacing w:after="0"/>
            </w:pPr>
            <w:r>
              <w:rPr>
                <w:sz w:val="16"/>
              </w:rPr>
            </w:r>
            <w:r>
              <w:rPr>
                <w:b w:val="0"/>
                <w:sz w:val="16"/>
              </w:rPr>
              <w:t>TypeScript 5.x, Node.js 20+ LTS, Express.js 4.x, REST, Prisma, Vitest, Supertest.</w:t>
            </w:r>
          </w:p>
        </w:tc>
      </w:tr>
      <w:tr>
        <w:tc>
          <w:tcPr>
            <w:tcW w:type="dxa" w:w="2448"/>
            <w:vAlign w:val="top"/>
            <w:shd w:fill="FFFFFF"/>
          </w:tcPr>
          <w:p>
            <w:pPr>
              <w:spacing w:after="0"/>
            </w:pPr>
            <w:r>
              <w:rPr>
                <w:sz w:val="16"/>
              </w:rPr>
            </w:r>
            <w:r>
              <w:rPr>
                <w:b w:val="0"/>
                <w:sz w:val="16"/>
              </w:rPr>
              <w:t>Frontend</w:t>
            </w:r>
          </w:p>
        </w:tc>
        <w:tc>
          <w:tcPr>
            <w:tcW w:type="dxa" w:w="8208"/>
            <w:vAlign w:val="top"/>
            <w:shd w:fill="FFFFFF"/>
          </w:tcPr>
          <w:p>
            <w:pPr>
              <w:spacing w:after="0"/>
            </w:pPr>
            <w:r>
              <w:rPr>
                <w:sz w:val="16"/>
              </w:rPr>
            </w:r>
            <w:r>
              <w:rPr>
                <w:b w:val="0"/>
                <w:sz w:val="16"/>
              </w:rPr>
              <w:t>React 18, TypeScript, Vite, shadcn/ui, Tamagui, Redux Toolkit or simplified state store, React Testing Library.</w:t>
            </w:r>
          </w:p>
        </w:tc>
      </w:tr>
      <w:tr>
        <w:tc>
          <w:tcPr>
            <w:tcW w:type="dxa" w:w="2448"/>
            <w:vAlign w:val="top"/>
            <w:shd w:fill="FFFFFF"/>
          </w:tcPr>
          <w:p>
            <w:pPr>
              <w:spacing w:after="0"/>
            </w:pPr>
            <w:r>
              <w:rPr>
                <w:sz w:val="16"/>
              </w:rPr>
            </w:r>
            <w:r>
              <w:rPr>
                <w:b w:val="0"/>
                <w:sz w:val="16"/>
              </w:rPr>
              <w:t>PWA/offline</w:t>
            </w:r>
          </w:p>
        </w:tc>
        <w:tc>
          <w:tcPr>
            <w:tcW w:type="dxa" w:w="8208"/>
            <w:vAlign w:val="top"/>
            <w:shd w:fill="FFFFFF"/>
          </w:tcPr>
          <w:p>
            <w:pPr>
              <w:spacing w:after="0"/>
            </w:pPr>
            <w:r>
              <w:rPr>
                <w:sz w:val="16"/>
              </w:rPr>
            </w:r>
            <w:r>
              <w:rPr>
                <w:b w:val="0"/>
                <w:sz w:val="16"/>
              </w:rPr>
              <w:t>Workbox, service worker, IndexedDB queue, NetworkFirst API cache, offline score submission and sync.</w:t>
            </w:r>
          </w:p>
        </w:tc>
      </w:tr>
      <w:tr>
        <w:tc>
          <w:tcPr>
            <w:tcW w:type="dxa" w:w="2448"/>
            <w:vAlign w:val="top"/>
            <w:shd w:fill="FFFFFF"/>
          </w:tcPr>
          <w:p>
            <w:pPr>
              <w:spacing w:after="0"/>
            </w:pPr>
            <w:r>
              <w:rPr>
                <w:sz w:val="16"/>
              </w:rPr>
            </w:r>
            <w:r>
              <w:rPr>
                <w:b w:val="0"/>
                <w:sz w:val="16"/>
              </w:rPr>
              <w:t>Database</w:t>
            </w:r>
          </w:p>
        </w:tc>
        <w:tc>
          <w:tcPr>
            <w:tcW w:type="dxa" w:w="8208"/>
            <w:vAlign w:val="top"/>
            <w:shd w:fill="FFFFFF"/>
          </w:tcPr>
          <w:p>
            <w:pPr>
              <w:spacing w:after="0"/>
            </w:pPr>
            <w:r>
              <w:rPr>
                <w:sz w:val="16"/>
              </w:rPr>
            </w:r>
            <w:r>
              <w:rPr>
                <w:b w:val="0"/>
                <w:sz w:val="16"/>
              </w:rPr>
              <w:t>PostgreSQL 15+ with Prisma ORM, JSONB for Nostr events, foreign keys for score/payment/attestation integrity.</w:t>
            </w:r>
          </w:p>
        </w:tc>
      </w:tr>
      <w:tr>
        <w:tc>
          <w:tcPr>
            <w:tcW w:type="dxa" w:w="2448"/>
            <w:vAlign w:val="top"/>
            <w:shd w:fill="FFFFFF"/>
          </w:tcPr>
          <w:p>
            <w:pPr>
              <w:spacing w:after="0"/>
            </w:pPr>
            <w:r>
              <w:rPr>
                <w:sz w:val="16"/>
              </w:rPr>
            </w:r>
            <w:r>
              <w:rPr>
                <w:b w:val="0"/>
                <w:sz w:val="16"/>
              </w:rPr>
              <w:t>Hosting</w:t>
            </w:r>
          </w:p>
        </w:tc>
        <w:tc>
          <w:tcPr>
            <w:tcW w:type="dxa" w:w="8208"/>
            <w:vAlign w:val="top"/>
            <w:shd w:fill="FFFFFF"/>
          </w:tcPr>
          <w:p>
            <w:pPr>
              <w:spacing w:after="0"/>
            </w:pPr>
            <w:r>
              <w:rPr>
                <w:sz w:val="16"/>
              </w:rPr>
            </w:r>
            <w:r>
              <w:rPr>
                <w:b w:val="0"/>
                <w:sz w:val="16"/>
              </w:rPr>
              <w:t>Railway or Render, managed PostgreSQL, GitHub Actions, environment variables/secrets.</w:t>
            </w:r>
          </w:p>
        </w:tc>
      </w:tr>
      <w:tr>
        <w:tc>
          <w:tcPr>
            <w:tcW w:type="dxa" w:w="2448"/>
            <w:vAlign w:val="top"/>
            <w:shd w:fill="FFFFFF"/>
          </w:tcPr>
          <w:p>
            <w:pPr>
              <w:spacing w:after="0"/>
            </w:pPr>
            <w:r>
              <w:rPr>
                <w:sz w:val="16"/>
              </w:rPr>
            </w:r>
            <w:r>
              <w:rPr>
                <w:b w:val="0"/>
                <w:sz w:val="16"/>
              </w:rPr>
              <w:t>Nostr</w:t>
            </w:r>
          </w:p>
        </w:tc>
        <w:tc>
          <w:tcPr>
            <w:tcW w:type="dxa" w:w="8208"/>
            <w:vAlign w:val="top"/>
            <w:shd w:fill="FFFFFF"/>
          </w:tcPr>
          <w:p>
            <w:pPr/>
            <w:r>
              <w:rPr>
                <w:sz w:val="16"/>
              </w:rPr>
              <w:t>nostr-tools, NIP-07 signer adapter through window.nostr, Nostash onboarding for iOS/iPadOS Safari, NIP-46 remote signer as staged fallback, relay discovery, primary relay fallback, and custom event kinds for score submission/attestation/dispute.</w:t>
            </w:r>
          </w:p>
        </w:tc>
      </w:tr>
      <w:tr>
        <w:tc>
          <w:tcPr>
            <w:tcW w:type="dxa" w:w="2448"/>
            <w:vAlign w:val="top"/>
            <w:shd w:fill="FFFFFF"/>
          </w:tcPr>
          <w:p>
            <w:pPr>
              <w:spacing w:after="0"/>
            </w:pPr>
            <w:r>
              <w:rPr>
                <w:sz w:val="16"/>
              </w:rPr>
            </w:r>
            <w:r>
              <w:rPr>
                <w:b w:val="0"/>
                <w:sz w:val="16"/>
              </w:rPr>
              <w:t>Wallet/payments</w:t>
            </w:r>
          </w:p>
        </w:tc>
        <w:tc>
          <w:tcPr>
            <w:tcW w:type="dxa" w:w="8208"/>
            <w:vAlign w:val="top"/>
            <w:shd w:fill="FFFFFF"/>
          </w:tcPr>
          <w:p>
            <w:pPr>
              <w:spacing w:after="0"/>
            </w:pPr>
            <w:r>
              <w:rPr>
                <w:sz w:val="16"/>
              </w:rPr>
            </w:r>
            <w:r>
              <w:rPr>
                <w:b w:val="0"/>
                <w:sz w:val="16"/>
              </w:rPr>
              <w:t>NWC/NIP-47 as primary wallet connection, WebLN fallback, BTCPay Server for registration invoices and webhook state.</w:t>
            </w:r>
          </w:p>
        </w:tc>
      </w:tr>
      <w:tr>
        <w:tc>
          <w:tcPr>
            <w:tcW w:type="dxa" w:w="2448"/>
            <w:vAlign w:val="top"/>
            <w:shd w:fill="FFFFFF"/>
          </w:tcPr>
          <w:p>
            <w:pPr>
              <w:spacing w:after="0"/>
            </w:pPr>
            <w:r>
              <w:rPr>
                <w:sz w:val="16"/>
              </w:rPr>
            </w:r>
            <w:r>
              <w:rPr>
                <w:b w:val="0"/>
                <w:sz w:val="16"/>
              </w:rPr>
              <w:t>Maps/course data</w:t>
            </w:r>
          </w:p>
        </w:tc>
        <w:tc>
          <w:tcPr>
            <w:tcW w:type="dxa" w:w="8208"/>
            <w:vAlign w:val="top"/>
            <w:shd w:fill="FFFFFF"/>
          </w:tcPr>
          <w:p>
            <w:pPr>
              <w:spacing w:after="0"/>
            </w:pPr>
            <w:r>
              <w:rPr>
                <w:sz w:val="16"/>
              </w:rPr>
            </w:r>
            <w:r>
              <w:rPr>
                <w:b w:val="0"/>
                <w:sz w:val="16"/>
              </w:rPr>
              <w:t>OpenStreetMap/Leaflet/OpenLayers direction; OpenGolfAPI and OSM-derived data; Open Course Data Model as schema candidate.</w:t>
            </w:r>
          </w:p>
        </w:tc>
      </w:tr>
    </w:tbl>
    <w:p/>
    <w:p>
      <w:pPr>
        <w:pStyle w:val="Heading2"/>
        <w:keepNext/>
      </w:pPr>
      <w:r>
        <w:t>Current architecture posture</w:t>
      </w:r>
    </w:p>
    <w:p>
      <w:pPr>
        <w:pStyle w:val="ListBullet"/>
        <w:spacing w:after="40"/>
      </w:pPr>
      <w:r>
        <w:t>Proposed stack decisions are ready for review; they should become Accepted only after license/security/implementation review.</w:t>
      </w:r>
    </w:p>
    <w:p>
      <w:pPr>
        <w:pStyle w:val="ListBullet"/>
        <w:spacing w:after="40"/>
      </w:pPr>
      <w:r>
        <w:t>The CI placeholder is intentionally stack-aware but not yet wired to real formatter/linter/test commands.</w:t>
      </w:r>
    </w:p>
    <w:p>
      <w:pPr>
        <w:pStyle w:val="ListBullet"/>
        <w:spacing w:after="40"/>
      </w:pPr>
      <w:r>
        <w:t>The backend should remain pragmatic: PostgreSQL remains the MVP system of record for registration, payment state, permissions, score state, corrections, and audit logs.</w:t>
      </w:r>
    </w:p>
    <w:p>
      <w:pPr>
        <w:pStyle w:val="ListBullet"/>
        <w:spacing w:after="40"/>
      </w:pPr>
      <w:r>
        <w:t>Nostr events should be used for identity, signatures, public score posts, score/attestation events, badges, zaps, and interoperability - not as a replacement for all operational state in MVP.</w:t>
      </w:r>
    </w:p>
    <w:p>
      <w:pPr>
        <w:pStyle w:val="Heading2"/>
      </w:pPr>
      <w:r>
        <w:rPr>
          <w:b/>
        </w:rPr>
        <w:t>Signer adapter architecture</w:t>
      </w:r>
    </w:p>
    <w:p>
      <w:pPr/>
      <w:r>
        <w:rPr>
          <w:sz w:val="18"/>
        </w:rPr>
        <w:t>The PWA should expose one internal signer interface and plug in specific signing methods behind it. This prevents the product from becoming dependent on a single extension while still giving normal iOS users a concrete path that works in Safari.</w:t>
      </w:r>
    </w:p>
    <w:tbl>
      <w:tblPr>
        <w:tblStyle w:val="TableGrid"/>
        <w:tblW w:type="auto" w:w="0"/>
        <w:tblLayout w:type="autofit"/>
        <w:tblLook w:firstColumn="1" w:firstRow="1" w:lastColumn="0" w:lastRow="0" w:noHBand="0" w:noVBand="1" w:val="04A0"/>
      </w:tblPr>
      <w:tblGrid>
        <w:gridCol w:w="5184"/>
        <w:gridCol w:w="5184"/>
      </w:tblGrid>
      <w:tr>
        <w:tc>
          <w:tcPr>
            <w:tcW w:type="dxa" w:w="5184"/>
            <w:shd w:fill="4B1D83"/>
          </w:tcPr>
          <w:p>
            <w:pPr/>
            <w:r>
              <w:rPr>
                <w:b/>
                <w:color w:val="FFFFFF"/>
                <w:sz w:val="16"/>
              </w:rPr>
              <w:t>Adapter/path</w:t>
            </w:r>
          </w:p>
        </w:tc>
        <w:tc>
          <w:tcPr>
            <w:tcW w:type="dxa" w:w="5184"/>
            <w:shd w:fill="4B1D83"/>
          </w:tcPr>
          <w:p>
            <w:pPr/>
            <w:r>
              <w:rPr>
                <w:b/>
                <w:color w:val="FFFFFF"/>
                <w:sz w:val="16"/>
              </w:rPr>
              <w:t>Role in product</w:t>
            </w:r>
          </w:p>
        </w:tc>
      </w:tr>
      <w:tr>
        <w:tc>
          <w:tcPr>
            <w:tcW w:type="dxa" w:w="5184"/>
            <w:shd w:fill="FFFFFF"/>
          </w:tcPr>
          <w:p>
            <w:pPr/>
            <w:r>
              <w:rPr>
                <w:sz w:val="16"/>
              </w:rPr>
              <w:t>NIP-07 browser signer</w:t>
            </w:r>
          </w:p>
        </w:tc>
        <w:tc>
          <w:tcPr>
            <w:tcW w:type="dxa" w:w="5184"/>
            <w:shd w:fill="FFFFFF"/>
          </w:tcPr>
          <w:p>
            <w:pPr/>
            <w:r>
              <w:rPr>
                <w:sz w:val="16"/>
              </w:rPr>
              <w:t>Primary MVP path for web browsers. Detect window.nostr, then use getPublicKey and signEvent for auth and signed product actions.</w:t>
            </w:r>
          </w:p>
        </w:tc>
      </w:tr>
      <w:tr>
        <w:tc>
          <w:tcPr>
            <w:tcW w:type="dxa" w:w="5184"/>
            <w:shd w:fill="FFFFFF"/>
          </w:tcPr>
          <w:p>
            <w:pPr/>
            <w:r>
              <w:rPr>
                <w:sz w:val="16"/>
              </w:rPr>
              <w:t>Nostash on iOS/iPadOS Safari</w:t>
            </w:r>
          </w:p>
        </w:tc>
        <w:tc>
          <w:tcPr>
            <w:tcW w:type="dxa" w:w="5184"/>
            <w:shd w:fill="FFFFFF"/>
          </w:tcPr>
          <w:p>
            <w:pPr/>
            <w:r>
              <w:rPr>
                <w:sz w:val="16"/>
              </w:rPr>
              <w:t>Recommended guided path for iPhone/iPad Safari users. Product copy should call it a secure signing app, not a protocol requirement.</w:t>
            </w:r>
          </w:p>
        </w:tc>
      </w:tr>
      <w:tr>
        <w:tc>
          <w:tcPr>
            <w:tcW w:type="dxa" w:w="5184"/>
            <w:shd w:fill="FFFFFF"/>
          </w:tcPr>
          <w:p>
            <w:pPr/>
            <w:r>
              <w:rPr>
                <w:sz w:val="16"/>
              </w:rPr>
              <w:t>NIP-46 remote signer</w:t>
            </w:r>
          </w:p>
        </w:tc>
        <w:tc>
          <w:tcPr>
            <w:tcW w:type="dxa" w:w="5184"/>
            <w:shd w:fill="FFFFFF"/>
          </w:tcPr>
          <w:p>
            <w:pPr/>
            <w:r>
              <w:rPr>
                <w:sz w:val="16"/>
              </w:rPr>
              <w:t>Future/staged fallback for standalone PWA cases, cross-device signing, and users who want keys isolated from the browsing device.</w:t>
            </w:r>
          </w:p>
        </w:tc>
      </w:tr>
      <w:tr>
        <w:tc>
          <w:tcPr>
            <w:tcW w:type="dxa" w:w="5184"/>
            <w:shd w:fill="FFFFFF"/>
          </w:tcPr>
          <w:p>
            <w:pPr/>
            <w:r>
              <w:rPr>
                <w:sz w:val="16"/>
              </w:rPr>
              <w:t>NIP-55 Android signer</w:t>
            </w:r>
          </w:p>
        </w:tc>
        <w:tc>
          <w:tcPr>
            <w:tcW w:type="dxa" w:w="5184"/>
            <w:shd w:fill="FFFFFF"/>
          </w:tcPr>
          <w:p>
            <w:pPr/>
            <w:r>
              <w:rPr>
                <w:sz w:val="16"/>
              </w:rPr>
              <w:t>Evaluate for Android-specific flows. Keep behind the same signer abstraction rather than forking the product UX.</w:t>
            </w:r>
          </w:p>
        </w:tc>
      </w:tr>
      <w:tr>
        <w:tc>
          <w:tcPr>
            <w:tcW w:type="dxa" w:w="5184"/>
            <w:shd w:fill="FFFFFF"/>
          </w:tcPr>
          <w:p>
            <w:pPr/>
            <w:r>
              <w:rPr>
                <w:sz w:val="16"/>
              </w:rPr>
              <w:t>Local/dev signer</w:t>
            </w:r>
          </w:p>
        </w:tc>
        <w:tc>
          <w:tcPr>
            <w:tcW w:type="dxa" w:w="5184"/>
            <w:shd w:fill="FFFFFF"/>
          </w:tcPr>
          <w:p>
            <w:pPr/>
            <w:r>
              <w:rPr>
                <w:sz w:val="16"/>
              </w:rPr>
              <w:t>Development and test only. Never make raw nsec/private-key paste the normie onboarding path.</w:t>
            </w:r>
          </w:p>
        </w:tc>
      </w:tr>
    </w:tbl>
    <w:tbl>
      <w:tblPr>
        <w:tblStyle w:val="TableGrid"/>
        <w:tblW w:type="auto" w:w="0"/>
        <w:tblLayout w:type="autofit"/>
        <w:tblLook w:firstColumn="1" w:firstRow="1" w:lastColumn="0" w:lastRow="0" w:noHBand="0" w:noVBand="1" w:val="04A0"/>
      </w:tblPr>
      <w:tblGrid>
        <w:gridCol w:w="5184"/>
        <w:gridCol w:w="5184"/>
      </w:tblGrid>
      <w:tr>
        <w:tc>
          <w:tcPr>
            <w:tcW w:type="dxa" w:w="5184"/>
            <w:shd w:fill="4B1D83"/>
          </w:tcPr>
          <w:p>
            <w:pPr/>
            <w:r>
              <w:rPr>
                <w:b/>
                <w:color w:val="FFFFFF"/>
                <w:sz w:val="16"/>
              </w:rPr>
              <w:t>Reference</w:t>
            </w:r>
          </w:p>
        </w:tc>
        <w:tc>
          <w:tcPr>
            <w:tcW w:type="dxa" w:w="5184"/>
            <w:shd w:fill="4B1D83"/>
          </w:tcPr>
          <w:p>
            <w:pPr/>
            <w:r>
              <w:rPr>
                <w:b/>
                <w:color w:val="FFFFFF"/>
                <w:sz w:val="16"/>
              </w:rPr>
              <w:t>Purpose</w:t>
            </w:r>
          </w:p>
        </w:tc>
      </w:tr>
      <w:tr>
        <w:tc>
          <w:tcPr>
            <w:tcW w:type="dxa" w:w="5184"/>
            <w:shd w:fill="FFFFFF"/>
          </w:tcPr>
          <w:p>
            <w:pPr/>
            <w:r>
              <w:rPr>
                <w:sz w:val="16"/>
              </w:rPr>
              <w:t>https://github.com/tyiu/nostash</w:t>
            </w:r>
          </w:p>
        </w:tc>
        <w:tc>
          <w:tcPr>
            <w:tcW w:type="dxa" w:w="5184"/>
            <w:shd w:fill="FFFFFF"/>
          </w:tcPr>
          <w:p>
            <w:pPr/>
            <w:r>
              <w:rPr>
                <w:sz w:val="16"/>
              </w:rPr>
              <w:t>Nostash Safari extension source and requirements.</w:t>
            </w:r>
          </w:p>
        </w:tc>
      </w:tr>
      <w:tr>
        <w:tc>
          <w:tcPr>
            <w:tcW w:type="dxa" w:w="5184"/>
            <w:shd w:fill="FFFFFF"/>
          </w:tcPr>
          <w:p>
            <w:pPr/>
            <w:r>
              <w:rPr>
                <w:sz w:val="16"/>
              </w:rPr>
              <w:t>https://github.com/nostr-protocol/nips/blob/master/07.md</w:t>
            </w:r>
          </w:p>
        </w:tc>
        <w:tc>
          <w:tcPr>
            <w:tcW w:type="dxa" w:w="5184"/>
            <w:shd w:fill="FFFFFF"/>
          </w:tcPr>
          <w:p>
            <w:pPr/>
            <w:r>
              <w:rPr>
                <w:sz w:val="16"/>
              </w:rPr>
              <w:t>Browser signer interface: window.nostr, getPublicKey, signEvent, and optional encryption methods.</w:t>
            </w:r>
          </w:p>
        </w:tc>
      </w:tr>
      <w:tr>
        <w:tc>
          <w:tcPr>
            <w:tcW w:type="dxa" w:w="5184"/>
            <w:shd w:fill="FFFFFF"/>
          </w:tcPr>
          <w:p>
            <w:pPr/>
            <w:r>
              <w:rPr>
                <w:sz w:val="16"/>
              </w:rPr>
              <w:t>https://github.com/nostr-protocol/nips/blob/master/46.md</w:t>
            </w:r>
          </w:p>
        </w:tc>
        <w:tc>
          <w:tcPr>
            <w:tcW w:type="dxa" w:w="5184"/>
            <w:shd w:fill="FFFFFF"/>
          </w:tcPr>
          <w:p>
            <w:pPr/>
            <w:r>
              <w:rPr>
                <w:sz w:val="16"/>
              </w:rPr>
              <w:t>Remote signer / bunker direction for future fallback and key isolation.</w:t>
            </w:r>
          </w:p>
        </w:tc>
      </w:tr>
      <w:tr>
        <w:tc>
          <w:tcPr>
            <w:tcW w:type="dxa" w:w="5184"/>
            <w:shd w:fill="FFFFFF"/>
          </w:tcPr>
          <w:p>
            <w:pPr/>
            <w:r>
              <w:rPr>
                <w:sz w:val="16"/>
              </w:rPr>
              <w:t>https://github.com/nostr-protocol/nips/blob/master/55.md</w:t>
            </w:r>
          </w:p>
        </w:tc>
        <w:tc>
          <w:tcPr>
            <w:tcW w:type="dxa" w:w="5184"/>
            <w:shd w:fill="FFFFFF"/>
          </w:tcPr>
          <w:p>
            <w:pPr/>
            <w:r>
              <w:rPr>
                <w:sz w:val="16"/>
              </w:rPr>
              <w:t>Android signer direction for later mobile support review.</w:t>
            </w:r>
          </w:p>
        </w:tc>
      </w:tr>
    </w:tbl>
    <w:p>
      <w:pPr>
        <w:pStyle w:val="Heading1"/>
        <w:keepNext/>
      </w:pPr>
      <w:r>
        <w:t>10. ADR register and decision critical path</w:t>
      </w:r>
    </w:p>
    <w:p>
      <w:r>
        <w:rPr>
          <w:sz w:val="18"/>
        </w:rPr>
        <w:t>The ADR system is now the main mechanism for preventing architecture drift. All ADRs below are Proposed except ADR 0000, which is the template. Proposed means the decision is documented and reviewable, not final.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shd w:fill="4B1D83"/>
            <w:vAlign w:val="center"/>
          </w:tcPr>
          <w:p>
            <w:pPr>
              <w:spacing w:after="0"/>
            </w:pPr>
            <w:r/>
            <w:r>
              <w:rPr>
                <w:b/>
                <w:color w:val="FFFFFF"/>
                <w:sz w:val="15"/>
              </w:rPr>
              <w:t>ADR</w:t>
            </w:r>
          </w:p>
        </w:tc>
        <w:tc>
          <w:tcPr>
            <w:tcW w:type="dxa" w:w="1224"/>
            <w:shd w:fill="4B1D83"/>
            <w:vAlign w:val="center"/>
          </w:tcPr>
          <w:p>
            <w:pPr>
              <w:spacing w:after="0"/>
            </w:pPr>
            <w:r/>
            <w:r>
              <w:rPr>
                <w:b/>
                <w:color w:val="FFFFFF"/>
                <w:sz w:val="15"/>
              </w:rPr>
              <w:t>Status</w:t>
            </w:r>
          </w:p>
        </w:tc>
        <w:tc>
          <w:tcPr>
            <w:tcW w:type="dxa" w:w="2376"/>
            <w:shd w:fill="4B1D83"/>
            <w:vAlign w:val="center"/>
          </w:tcPr>
          <w:p>
            <w:pPr>
              <w:spacing w:after="0"/>
            </w:pPr>
            <w:r/>
            <w:r>
              <w:rPr>
                <w:b/>
                <w:color w:val="FFFFFF"/>
                <w:sz w:val="15"/>
              </w:rPr>
              <w:t>Area</w:t>
            </w:r>
          </w:p>
        </w:tc>
        <w:tc>
          <w:tcPr>
            <w:tcW w:type="dxa" w:w="6264"/>
            <w:shd w:fill="4B1D83"/>
            <w:vAlign w:val="center"/>
          </w:tcPr>
          <w:p>
            <w:pPr>
              <w:spacing w:after="0"/>
            </w:pPr>
            <w:r/>
            <w:r>
              <w:rPr>
                <w:b/>
                <w:color w:val="FFFFFF"/>
                <w:sz w:val="15"/>
              </w:rPr>
              <w:t>Decision summary</w:t>
            </w:r>
          </w:p>
        </w:tc>
      </w:tr>
      <w:tr>
        <w:tc>
          <w:tcPr>
            <w:tcW w:type="dxa" w:w="792"/>
            <w:vAlign w:val="top"/>
          </w:tcPr>
          <w:p>
            <w:pPr>
              <w:spacing w:after="0"/>
            </w:pPr>
            <w:r/>
            <w:r>
              <w:rPr>
                <w:b w:val="0"/>
                <w:sz w:val="15"/>
              </w:rPr>
              <w:t>0000</w:t>
            </w:r>
          </w:p>
        </w:tc>
        <w:tc>
          <w:tcPr>
            <w:tcW w:type="dxa" w:w="1224"/>
            <w:vAlign w:val="top"/>
          </w:tcPr>
          <w:p>
            <w:pPr>
              <w:spacing w:after="0"/>
            </w:pPr>
            <w:r/>
            <w:r>
              <w:rPr>
                <w:b w:val="0"/>
                <w:sz w:val="15"/>
              </w:rPr>
              <w:t>Template</w:t>
            </w:r>
          </w:p>
        </w:tc>
        <w:tc>
          <w:tcPr>
            <w:tcW w:type="dxa" w:w="2376"/>
            <w:vAlign w:val="top"/>
          </w:tcPr>
          <w:p>
            <w:pPr>
              <w:spacing w:after="0"/>
            </w:pPr>
            <w:r/>
            <w:r>
              <w:rPr>
                <w:b w:val="0"/>
                <w:sz w:val="15"/>
              </w:rPr>
              <w:t>Process</w:t>
            </w:r>
          </w:p>
        </w:tc>
        <w:tc>
          <w:tcPr>
            <w:tcW w:type="dxa" w:w="6264"/>
            <w:vAlign w:val="top"/>
          </w:tcPr>
          <w:p>
            <w:pPr>
              <w:spacing w:after="0"/>
            </w:pPr>
            <w:r/>
            <w:r>
              <w:rPr>
                <w:b w:val="0"/>
                <w:sz w:val="15"/>
              </w:rPr>
              <w:t>Required ADR structure.</w:t>
            </w:r>
          </w:p>
        </w:tc>
      </w:tr>
      <w:tr>
        <w:tc>
          <w:tcPr>
            <w:tcW w:type="dxa" w:w="792"/>
            <w:vAlign w:val="top"/>
          </w:tcPr>
          <w:p>
            <w:pPr>
              <w:spacing w:after="0"/>
            </w:pPr>
            <w:r/>
            <w:r>
              <w:rPr>
                <w:b w:val="0"/>
                <w:sz w:val="15"/>
              </w:rPr>
              <w:t>0001</w:t>
            </w:r>
          </w:p>
        </w:tc>
        <w:tc>
          <w:tcPr>
            <w:tcW w:type="dxa" w:w="1224"/>
            <w:vAlign w:val="top"/>
          </w:tcPr>
          <w:p>
            <w:pPr>
              <w:spacing w:after="0"/>
            </w:pPr>
            <w:r/>
            <w:r>
              <w:rPr>
                <w:b w:val="0"/>
                <w:sz w:val="15"/>
              </w:rPr>
              <w:t>Proposed</w:t>
            </w:r>
          </w:p>
        </w:tc>
        <w:tc>
          <w:tcPr>
            <w:tcW w:type="dxa" w:w="2376"/>
            <w:vAlign w:val="top"/>
          </w:tcPr>
          <w:p>
            <w:pPr>
              <w:spacing w:after="0"/>
            </w:pPr>
            <w:r/>
            <w:r>
              <w:rPr>
                <w:b w:val="0"/>
                <w:sz w:val="15"/>
              </w:rPr>
              <w:t>Identity / Nostr</w:t>
            </w:r>
          </w:p>
        </w:tc>
        <w:tc>
          <w:tcPr>
            <w:tcW w:type="dxa" w:w="6264"/>
            <w:vAlign w:val="top"/>
          </w:tcPr>
          <w:p>
            <w:pPr>
              <w:spacing w:after="0"/>
            </w:pPr>
            <w:r/>
            <w:r>
              <w:rPr>
                <w:b w:val="0"/>
                <w:sz w:val="15"/>
              </w:rPr>
              <w:t>Use Nostr for identity and signed user actions.</w:t>
            </w:r>
          </w:p>
        </w:tc>
      </w:tr>
      <w:tr>
        <w:tc>
          <w:tcPr>
            <w:tcW w:type="dxa" w:w="792"/>
            <w:vAlign w:val="top"/>
          </w:tcPr>
          <w:p>
            <w:pPr>
              <w:spacing w:after="0"/>
            </w:pPr>
            <w:r/>
            <w:r>
              <w:rPr>
                <w:b w:val="0"/>
                <w:sz w:val="15"/>
              </w:rPr>
              <w:t>0002</w:t>
            </w:r>
          </w:p>
        </w:tc>
        <w:tc>
          <w:tcPr>
            <w:tcW w:type="dxa" w:w="1224"/>
            <w:vAlign w:val="top"/>
          </w:tcPr>
          <w:p>
            <w:pPr>
              <w:spacing w:after="0"/>
            </w:pPr>
            <w:r/>
            <w:r>
              <w:rPr>
                <w:b w:val="0"/>
                <w:sz w:val="15"/>
              </w:rPr>
              <w:t>Proposed</w:t>
            </w:r>
          </w:p>
        </w:tc>
        <w:tc>
          <w:tcPr>
            <w:tcW w:type="dxa" w:w="2376"/>
            <w:vAlign w:val="top"/>
          </w:tcPr>
          <w:p>
            <w:pPr>
              <w:spacing w:after="0"/>
            </w:pPr>
            <w:r/>
            <w:r>
              <w:rPr>
                <w:b w:val="0"/>
                <w:sz w:val="15"/>
              </w:rPr>
              <w:t>Wallet / Payments</w:t>
            </w:r>
          </w:p>
        </w:tc>
        <w:tc>
          <w:tcPr>
            <w:tcW w:type="dxa" w:w="6264"/>
            <w:vAlign w:val="top"/>
          </w:tcPr>
          <w:p>
            <w:pPr>
              <w:spacing w:after="0"/>
            </w:pPr>
            <w:r/>
            <w:r>
              <w:rPr>
                <w:b w:val="0"/>
                <w:sz w:val="15"/>
              </w:rPr>
              <w:t>Use NWC for non-custodial Lightning wallet integration.</w:t>
            </w:r>
          </w:p>
        </w:tc>
      </w:tr>
      <w:tr>
        <w:tc>
          <w:tcPr>
            <w:tcW w:type="dxa" w:w="792"/>
            <w:vAlign w:val="top"/>
          </w:tcPr>
          <w:p>
            <w:pPr>
              <w:spacing w:after="0"/>
            </w:pPr>
            <w:r/>
            <w:r>
              <w:rPr>
                <w:b w:val="0"/>
                <w:sz w:val="15"/>
              </w:rPr>
              <w:t>0003</w:t>
            </w:r>
          </w:p>
        </w:tc>
        <w:tc>
          <w:tcPr>
            <w:tcW w:type="dxa" w:w="1224"/>
            <w:vAlign w:val="top"/>
          </w:tcPr>
          <w:p>
            <w:pPr>
              <w:spacing w:after="0"/>
            </w:pPr>
            <w:r/>
            <w:r>
              <w:rPr>
                <w:b w:val="0"/>
                <w:sz w:val="15"/>
              </w:rPr>
              <w:t>Proposed</w:t>
            </w:r>
          </w:p>
        </w:tc>
        <w:tc>
          <w:tcPr>
            <w:tcW w:type="dxa" w:w="2376"/>
            <w:vAlign w:val="top"/>
          </w:tcPr>
          <w:p>
            <w:pPr>
              <w:spacing w:after="0"/>
            </w:pPr>
            <w:r/>
            <w:r>
              <w:rPr>
                <w:b w:val="0"/>
                <w:sz w:val="15"/>
              </w:rPr>
              <w:t>Client / UX</w:t>
            </w:r>
          </w:p>
        </w:tc>
        <w:tc>
          <w:tcPr>
            <w:tcW w:type="dxa" w:w="6264"/>
            <w:vAlign w:val="top"/>
          </w:tcPr>
          <w:p>
            <w:pPr>
              <w:spacing w:after="0"/>
            </w:pPr>
            <w:r/>
            <w:r>
              <w:rPr>
                <w:b w:val="0"/>
                <w:sz w:val="15"/>
              </w:rPr>
              <w:t>Build the app as a Progressive Web App.</w:t>
            </w:r>
          </w:p>
        </w:tc>
      </w:tr>
      <w:tr>
        <w:tc>
          <w:tcPr>
            <w:tcW w:type="dxa" w:w="792"/>
            <w:vAlign w:val="top"/>
          </w:tcPr>
          <w:p>
            <w:pPr>
              <w:spacing w:after="0"/>
            </w:pPr>
            <w:r/>
            <w:r>
              <w:rPr>
                <w:b w:val="0"/>
                <w:sz w:val="15"/>
              </w:rPr>
              <w:t>0004</w:t>
            </w:r>
          </w:p>
        </w:tc>
        <w:tc>
          <w:tcPr>
            <w:tcW w:type="dxa" w:w="1224"/>
            <w:vAlign w:val="top"/>
          </w:tcPr>
          <w:p>
            <w:pPr>
              <w:spacing w:after="0"/>
            </w:pPr>
            <w:r/>
            <w:r>
              <w:rPr>
                <w:b w:val="0"/>
                <w:sz w:val="15"/>
              </w:rPr>
              <w:t>Proposed</w:t>
            </w:r>
          </w:p>
        </w:tc>
        <w:tc>
          <w:tcPr>
            <w:tcW w:type="dxa" w:w="2376"/>
            <w:vAlign w:val="top"/>
          </w:tcPr>
          <w:p>
            <w:pPr>
              <w:spacing w:after="0"/>
            </w:pPr>
            <w:r/>
            <w:r>
              <w:rPr>
                <w:b w:val="0"/>
                <w:sz w:val="15"/>
              </w:rPr>
              <w:t>Governance / Licensing</w:t>
            </w:r>
          </w:p>
        </w:tc>
        <w:tc>
          <w:tcPr>
            <w:tcW w:type="dxa" w:w="6264"/>
            <w:vAlign w:val="top"/>
          </w:tcPr>
          <w:p>
            <w:pPr>
              <w:spacing w:after="0"/>
            </w:pPr>
            <w:r/>
            <w:r>
              <w:rPr>
                <w:b w:val="0"/>
                <w:sz w:val="15"/>
              </w:rPr>
              <w:t>Open-source-only dependencies and license review gates.</w:t>
            </w:r>
          </w:p>
        </w:tc>
      </w:tr>
      <w:tr>
        <w:tc>
          <w:tcPr>
            <w:tcW w:type="dxa" w:w="792"/>
            <w:vAlign w:val="top"/>
          </w:tcPr>
          <w:p>
            <w:pPr>
              <w:spacing w:after="0"/>
            </w:pPr>
            <w:r/>
            <w:r>
              <w:rPr>
                <w:b w:val="0"/>
                <w:sz w:val="15"/>
              </w:rPr>
              <w:t>0005</w:t>
            </w:r>
          </w:p>
        </w:tc>
        <w:tc>
          <w:tcPr>
            <w:tcW w:type="dxa" w:w="1224"/>
            <w:vAlign w:val="top"/>
          </w:tcPr>
          <w:p>
            <w:pPr>
              <w:spacing w:after="0"/>
            </w:pPr>
            <w:r/>
            <w:r>
              <w:rPr>
                <w:b w:val="0"/>
                <w:sz w:val="15"/>
              </w:rPr>
              <w:t>Proposed</w:t>
            </w:r>
          </w:p>
        </w:tc>
        <w:tc>
          <w:tcPr>
            <w:tcW w:type="dxa" w:w="2376"/>
            <w:vAlign w:val="top"/>
          </w:tcPr>
          <w:p>
            <w:pPr>
              <w:spacing w:after="0"/>
            </w:pPr>
            <w:r/>
            <w:r>
              <w:rPr>
                <w:b w:val="0"/>
                <w:sz w:val="15"/>
              </w:rPr>
              <w:t>Course Data / Maps</w:t>
            </w:r>
          </w:p>
        </w:tc>
        <w:tc>
          <w:tcPr>
            <w:tcW w:type="dxa" w:w="6264"/>
            <w:vAlign w:val="top"/>
          </w:tcPr>
          <w:p>
            <w:pPr>
              <w:spacing w:after="0"/>
            </w:pPr>
            <w:r/>
            <w:r>
              <w:rPr>
                <w:b w:val="0"/>
                <w:sz w:val="15"/>
              </w:rPr>
              <w:t>Open map/course-data sources with community enrichment.</w:t>
            </w:r>
          </w:p>
        </w:tc>
      </w:tr>
      <w:tr>
        <w:tc>
          <w:tcPr>
            <w:tcW w:type="dxa" w:w="792"/>
            <w:vAlign w:val="top"/>
          </w:tcPr>
          <w:p>
            <w:pPr>
              <w:spacing w:after="0"/>
            </w:pPr>
            <w:r/>
            <w:r>
              <w:rPr>
                <w:b w:val="0"/>
                <w:sz w:val="15"/>
              </w:rPr>
              <w:t>0006</w:t>
            </w:r>
          </w:p>
        </w:tc>
        <w:tc>
          <w:tcPr>
            <w:tcW w:type="dxa" w:w="1224"/>
            <w:vAlign w:val="top"/>
          </w:tcPr>
          <w:p>
            <w:pPr>
              <w:spacing w:after="0"/>
            </w:pPr>
            <w:r/>
            <w:r>
              <w:rPr>
                <w:b w:val="0"/>
                <w:sz w:val="15"/>
              </w:rPr>
              <w:t>Proposed</w:t>
            </w:r>
          </w:p>
        </w:tc>
        <w:tc>
          <w:tcPr>
            <w:tcW w:type="dxa" w:w="2376"/>
            <w:vAlign w:val="top"/>
          </w:tcPr>
          <w:p>
            <w:pPr>
              <w:spacing w:after="0"/>
            </w:pPr>
            <w:r/>
            <w:r>
              <w:rPr>
                <w:b w:val="0"/>
                <w:sz w:val="15"/>
              </w:rPr>
              <w:t>Scoring / Integrity</w:t>
            </w:r>
          </w:p>
        </w:tc>
        <w:tc>
          <w:tcPr>
            <w:tcW w:type="dxa" w:w="6264"/>
            <w:vAlign w:val="top"/>
          </w:tcPr>
          <w:p>
            <w:pPr>
              <w:spacing w:after="0"/>
            </w:pPr>
            <w:r/>
            <w:r>
              <w:rPr>
                <w:b w:val="0"/>
                <w:sz w:val="15"/>
              </w:rPr>
              <w:t>Score validity attestations distinct from timestamp anchoring.</w:t>
            </w:r>
          </w:p>
        </w:tc>
      </w:tr>
      <w:tr>
        <w:tc>
          <w:tcPr>
            <w:tcW w:type="dxa" w:w="792"/>
            <w:vAlign w:val="top"/>
          </w:tcPr>
          <w:p>
            <w:pPr>
              <w:spacing w:after="0"/>
            </w:pPr>
            <w:r/>
            <w:r>
              <w:rPr>
                <w:b w:val="0"/>
                <w:sz w:val="15"/>
              </w:rPr>
              <w:t>0007</w:t>
            </w:r>
          </w:p>
        </w:tc>
        <w:tc>
          <w:tcPr>
            <w:tcW w:type="dxa" w:w="1224"/>
            <w:vAlign w:val="top"/>
          </w:tcPr>
          <w:p>
            <w:pPr>
              <w:spacing w:after="0"/>
            </w:pPr>
            <w:r/>
            <w:r>
              <w:rPr>
                <w:b w:val="0"/>
                <w:sz w:val="15"/>
              </w:rPr>
              <w:t>Proposed</w:t>
            </w:r>
          </w:p>
        </w:tc>
        <w:tc>
          <w:tcPr>
            <w:tcW w:type="dxa" w:w="2376"/>
            <w:vAlign w:val="top"/>
          </w:tcPr>
          <w:p>
            <w:pPr>
              <w:spacing w:after="0"/>
            </w:pPr>
            <w:r/>
            <w:r>
              <w:rPr>
                <w:b w:val="0"/>
                <w:sz w:val="15"/>
              </w:rPr>
              <w:t>Social / Engagement</w:t>
            </w:r>
          </w:p>
        </w:tc>
        <w:tc>
          <w:tcPr>
            <w:tcW w:type="dxa" w:w="6264"/>
            <w:vAlign w:val="top"/>
          </w:tcPr>
          <w:p>
            <w:pPr>
              <w:spacing w:after="0"/>
            </w:pPr>
            <w:r/>
            <w:r>
              <w:rPr>
                <w:b w:val="0"/>
                <w:sz w:val="15"/>
              </w:rPr>
              <w:t>Public score posts, badges, and zaps through Nostr events.</w:t>
            </w:r>
          </w:p>
        </w:tc>
      </w:tr>
      <w:tr>
        <w:tc>
          <w:tcPr>
            <w:tcW w:type="dxa" w:w="792"/>
            <w:vAlign w:val="top"/>
          </w:tcPr>
          <w:p>
            <w:pPr>
              <w:spacing w:after="0"/>
            </w:pPr>
            <w:r/>
            <w:r>
              <w:rPr>
                <w:b w:val="0"/>
                <w:sz w:val="15"/>
              </w:rPr>
              <w:t>0008</w:t>
            </w:r>
          </w:p>
        </w:tc>
        <w:tc>
          <w:tcPr>
            <w:tcW w:type="dxa" w:w="1224"/>
            <w:vAlign w:val="top"/>
          </w:tcPr>
          <w:p>
            <w:pPr>
              <w:spacing w:after="0"/>
            </w:pPr>
            <w:r/>
            <w:r>
              <w:rPr>
                <w:b w:val="0"/>
                <w:sz w:val="15"/>
              </w:rPr>
              <w:t>Proposed</w:t>
            </w:r>
          </w:p>
        </w:tc>
        <w:tc>
          <w:tcPr>
            <w:tcW w:type="dxa" w:w="2376"/>
            <w:vAlign w:val="top"/>
          </w:tcPr>
          <w:p>
            <w:pPr>
              <w:spacing w:after="0"/>
            </w:pPr>
            <w:r/>
            <w:r>
              <w:rPr>
                <w:b w:val="0"/>
                <w:sz w:val="15"/>
              </w:rPr>
              <w:t>Security / Payments</w:t>
            </w:r>
          </w:p>
        </w:tc>
        <w:tc>
          <w:tcPr>
            <w:tcW w:type="dxa" w:w="6264"/>
            <w:vAlign w:val="top"/>
          </w:tcPr>
          <w:p>
            <w:pPr>
              <w:spacing w:after="0"/>
            </w:pPr>
            <w:r/>
            <w:r>
              <w:rPr>
                <w:b w:val="0"/>
                <w:sz w:val="15"/>
              </w:rPr>
              <w:t>Keep Bitcoin/Lightning flows non-custodial.</w:t>
            </w:r>
          </w:p>
        </w:tc>
      </w:tr>
      <w:tr>
        <w:tc>
          <w:tcPr>
            <w:tcW w:type="dxa" w:w="792"/>
            <w:vAlign w:val="top"/>
          </w:tcPr>
          <w:p>
            <w:pPr>
              <w:spacing w:after="0"/>
            </w:pPr>
            <w:r/>
            <w:r>
              <w:rPr>
                <w:b w:val="0"/>
                <w:sz w:val="15"/>
              </w:rPr>
              <w:t>0009</w:t>
            </w:r>
          </w:p>
        </w:tc>
        <w:tc>
          <w:tcPr>
            <w:tcW w:type="dxa" w:w="1224"/>
            <w:vAlign w:val="top"/>
          </w:tcPr>
          <w:p>
            <w:pPr>
              <w:spacing w:after="0"/>
            </w:pPr>
            <w:r/>
            <w:r>
              <w:rPr>
                <w:b w:val="0"/>
                <w:sz w:val="15"/>
              </w:rPr>
              <w:t>Proposed</w:t>
            </w:r>
          </w:p>
        </w:tc>
        <w:tc>
          <w:tcPr>
            <w:tcW w:type="dxa" w:w="2376"/>
            <w:vAlign w:val="top"/>
          </w:tcPr>
          <w:p>
            <w:pPr>
              <w:spacing w:after="0"/>
            </w:pPr>
            <w:r/>
            <w:r>
              <w:rPr>
                <w:b w:val="0"/>
                <w:sz w:val="15"/>
              </w:rPr>
              <w:t>Product / Legal</w:t>
            </w:r>
          </w:p>
        </w:tc>
        <w:tc>
          <w:tcPr>
            <w:tcW w:type="dxa" w:w="6264"/>
            <w:vAlign w:val="top"/>
          </w:tcPr>
          <w:p>
            <w:pPr>
              <w:spacing w:after="0"/>
            </w:pPr>
            <w:r/>
            <w:r>
              <w:rPr>
                <w:b w:val="0"/>
                <w:sz w:val="15"/>
              </w:rPr>
              <w:t>Defer betting and prediction markets.</w:t>
            </w:r>
          </w:p>
        </w:tc>
      </w:tr>
      <w:tr>
        <w:tc>
          <w:tcPr>
            <w:tcW w:type="dxa" w:w="792"/>
            <w:vAlign w:val="top"/>
          </w:tcPr>
          <w:p>
            <w:pPr>
              <w:spacing w:after="0"/>
            </w:pPr>
            <w:r/>
            <w:r>
              <w:rPr>
                <w:b w:val="0"/>
                <w:sz w:val="15"/>
              </w:rPr>
              <w:t>0010</w:t>
            </w:r>
          </w:p>
        </w:tc>
        <w:tc>
          <w:tcPr>
            <w:tcW w:type="dxa" w:w="1224"/>
            <w:vAlign w:val="top"/>
          </w:tcPr>
          <w:p>
            <w:pPr>
              <w:spacing w:after="0"/>
            </w:pPr>
            <w:r/>
            <w:r>
              <w:rPr>
                <w:b w:val="0"/>
                <w:sz w:val="15"/>
              </w:rPr>
              <w:t>Proposed</w:t>
            </w:r>
          </w:p>
        </w:tc>
        <w:tc>
          <w:tcPr>
            <w:tcW w:type="dxa" w:w="2376"/>
            <w:vAlign w:val="top"/>
          </w:tcPr>
          <w:p>
            <w:pPr>
              <w:spacing w:after="0"/>
            </w:pPr>
            <w:r/>
            <w:r>
              <w:rPr>
                <w:b w:val="0"/>
                <w:sz w:val="15"/>
              </w:rPr>
              <w:t>Process / Delivery</w:t>
            </w:r>
          </w:p>
        </w:tc>
        <w:tc>
          <w:tcPr>
            <w:tcW w:type="dxa" w:w="6264"/>
            <w:vAlign w:val="top"/>
          </w:tcPr>
          <w:p>
            <w:pPr>
              <w:spacing w:after="0"/>
            </w:pPr>
            <w:r/>
            <w:r>
              <w:rPr>
                <w:b w:val="0"/>
                <w:sz w:val="15"/>
              </w:rPr>
              <w:t>GitHub issue labels and PR review gates.</w:t>
            </w:r>
          </w:p>
        </w:tc>
      </w:tr>
      <w:tr>
        <w:tc>
          <w:tcPr>
            <w:tcW w:type="dxa" w:w="792"/>
            <w:vAlign w:val="top"/>
          </w:tcPr>
          <w:p>
            <w:pPr>
              <w:spacing w:after="0"/>
            </w:pPr>
            <w:r/>
            <w:r>
              <w:rPr>
                <w:b w:val="0"/>
                <w:sz w:val="15"/>
              </w:rPr>
              <w:t>0011</w:t>
            </w:r>
          </w:p>
        </w:tc>
        <w:tc>
          <w:tcPr>
            <w:tcW w:type="dxa" w:w="1224"/>
            <w:vAlign w:val="top"/>
          </w:tcPr>
          <w:p>
            <w:pPr>
              <w:spacing w:after="0"/>
            </w:pPr>
            <w:r/>
            <w:r>
              <w:rPr>
                <w:b w:val="0"/>
                <w:sz w:val="15"/>
              </w:rPr>
              <w:t>Proposed</w:t>
            </w:r>
          </w:p>
        </w:tc>
        <w:tc>
          <w:tcPr>
            <w:tcW w:type="dxa" w:w="2376"/>
            <w:vAlign w:val="top"/>
          </w:tcPr>
          <w:p>
            <w:pPr>
              <w:spacing w:after="0"/>
            </w:pPr>
            <w:r/>
            <w:r>
              <w:rPr>
                <w:b w:val="0"/>
                <w:sz w:val="15"/>
              </w:rPr>
              <w:t>Backend</w:t>
            </w:r>
          </w:p>
        </w:tc>
        <w:tc>
          <w:tcPr>
            <w:tcW w:type="dxa" w:w="6264"/>
            <w:vAlign w:val="top"/>
          </w:tcPr>
          <w:p>
            <w:pPr>
              <w:spacing w:after="0"/>
            </w:pPr>
            <w:r/>
            <w:r>
              <w:rPr>
                <w:b w:val="0"/>
                <w:sz w:val="15"/>
              </w:rPr>
              <w:t>TypeScript and Express.js for backend API.</w:t>
            </w:r>
          </w:p>
        </w:tc>
      </w:tr>
      <w:tr>
        <w:tc>
          <w:tcPr>
            <w:tcW w:type="dxa" w:w="792"/>
            <w:vAlign w:val="top"/>
          </w:tcPr>
          <w:p>
            <w:pPr>
              <w:spacing w:after="0"/>
            </w:pPr>
            <w:r/>
            <w:r>
              <w:rPr>
                <w:b w:val="0"/>
                <w:sz w:val="15"/>
              </w:rPr>
              <w:t>0012</w:t>
            </w:r>
          </w:p>
        </w:tc>
        <w:tc>
          <w:tcPr>
            <w:tcW w:type="dxa" w:w="1224"/>
            <w:vAlign w:val="top"/>
          </w:tcPr>
          <w:p>
            <w:pPr>
              <w:spacing w:after="0"/>
            </w:pPr>
            <w:r/>
            <w:r>
              <w:rPr>
                <w:b w:val="0"/>
                <w:sz w:val="15"/>
              </w:rPr>
              <w:t>Proposed</w:t>
            </w:r>
          </w:p>
        </w:tc>
        <w:tc>
          <w:tcPr>
            <w:tcW w:type="dxa" w:w="2376"/>
            <w:vAlign w:val="top"/>
          </w:tcPr>
          <w:p>
            <w:pPr>
              <w:spacing w:after="0"/>
            </w:pPr>
            <w:r/>
            <w:r>
              <w:rPr>
                <w:b w:val="0"/>
                <w:sz w:val="15"/>
              </w:rPr>
              <w:t>Frontend</w:t>
            </w:r>
          </w:p>
        </w:tc>
        <w:tc>
          <w:tcPr>
            <w:tcW w:type="dxa" w:w="6264"/>
            <w:vAlign w:val="top"/>
          </w:tcPr>
          <w:p>
            <w:pPr>
              <w:spacing w:after="0"/>
            </w:pPr>
            <w:r/>
            <w:r>
              <w:rPr>
                <w:b w:val="0"/>
                <w:sz w:val="15"/>
              </w:rPr>
              <w:t>React 18 with TypeScript for PWA frontend.</w:t>
            </w:r>
          </w:p>
        </w:tc>
      </w:tr>
      <w:tr>
        <w:tc>
          <w:tcPr>
            <w:tcW w:type="dxa" w:w="792"/>
            <w:vAlign w:val="top"/>
          </w:tcPr>
          <w:p>
            <w:pPr>
              <w:spacing w:after="0"/>
            </w:pPr>
            <w:r/>
            <w:r>
              <w:rPr>
                <w:b w:val="0"/>
                <w:sz w:val="15"/>
              </w:rPr>
              <w:t>0013</w:t>
            </w:r>
          </w:p>
        </w:tc>
        <w:tc>
          <w:tcPr>
            <w:tcW w:type="dxa" w:w="1224"/>
            <w:vAlign w:val="top"/>
          </w:tcPr>
          <w:p>
            <w:pPr>
              <w:spacing w:after="0"/>
            </w:pPr>
            <w:r/>
            <w:r>
              <w:rPr>
                <w:b w:val="0"/>
                <w:sz w:val="15"/>
              </w:rPr>
              <w:t>Proposed</w:t>
            </w:r>
          </w:p>
        </w:tc>
        <w:tc>
          <w:tcPr>
            <w:tcW w:type="dxa" w:w="2376"/>
            <w:vAlign w:val="top"/>
          </w:tcPr>
          <w:p>
            <w:pPr>
              <w:spacing w:after="0"/>
            </w:pPr>
            <w:r/>
            <w:r>
              <w:rPr>
                <w:b w:val="0"/>
                <w:sz w:val="15"/>
              </w:rPr>
              <w:t>Database</w:t>
            </w:r>
          </w:p>
        </w:tc>
        <w:tc>
          <w:tcPr>
            <w:tcW w:type="dxa" w:w="6264"/>
            <w:vAlign w:val="top"/>
          </w:tcPr>
          <w:p>
            <w:pPr>
              <w:spacing w:after="0"/>
            </w:pPr>
            <w:r/>
            <w:r>
              <w:rPr>
                <w:b w:val="0"/>
                <w:sz w:val="15"/>
              </w:rPr>
              <w:t>PostgreSQL with Prisma ORM for storage.</w:t>
            </w:r>
          </w:p>
        </w:tc>
      </w:tr>
      <w:tr>
        <w:tc>
          <w:tcPr>
            <w:tcW w:type="dxa" w:w="792"/>
            <w:vAlign w:val="top"/>
          </w:tcPr>
          <w:p>
            <w:pPr>
              <w:spacing w:after="0"/>
            </w:pPr>
            <w:r/>
            <w:r>
              <w:rPr>
                <w:b w:val="0"/>
                <w:sz w:val="15"/>
              </w:rPr>
              <w:t>0014</w:t>
            </w:r>
          </w:p>
        </w:tc>
        <w:tc>
          <w:tcPr>
            <w:tcW w:type="dxa" w:w="1224"/>
            <w:vAlign w:val="top"/>
          </w:tcPr>
          <w:p>
            <w:pPr>
              <w:spacing w:after="0"/>
            </w:pPr>
            <w:r/>
            <w:r>
              <w:rPr>
                <w:b w:val="0"/>
                <w:sz w:val="15"/>
              </w:rPr>
              <w:t>Proposed</w:t>
            </w:r>
          </w:p>
        </w:tc>
        <w:tc>
          <w:tcPr>
            <w:tcW w:type="dxa" w:w="2376"/>
            <w:vAlign w:val="top"/>
          </w:tcPr>
          <w:p>
            <w:pPr>
              <w:spacing w:after="0"/>
            </w:pPr>
            <w:r/>
            <w:r>
              <w:rPr>
                <w:b w:val="0"/>
                <w:sz w:val="15"/>
              </w:rPr>
              <w:t>Infrastructure</w:t>
            </w:r>
          </w:p>
        </w:tc>
        <w:tc>
          <w:tcPr>
            <w:tcW w:type="dxa" w:w="6264"/>
            <w:vAlign w:val="top"/>
          </w:tcPr>
          <w:p>
            <w:pPr>
              <w:spacing w:after="0"/>
            </w:pPr>
            <w:r/>
            <w:r>
              <w:rPr>
                <w:b w:val="0"/>
                <w:sz w:val="15"/>
              </w:rPr>
              <w:t>Railway or Render for hosting and deployment.</w:t>
            </w:r>
          </w:p>
        </w:tc>
      </w:tr>
      <w:tr>
        <w:tc>
          <w:tcPr>
            <w:tcW w:type="dxa" w:w="792"/>
            <w:vAlign w:val="top"/>
          </w:tcPr>
          <w:p>
            <w:pPr>
              <w:spacing w:after="0"/>
            </w:pPr>
            <w:r/>
            <w:r>
              <w:rPr>
                <w:b w:val="0"/>
                <w:sz w:val="15"/>
              </w:rPr>
              <w:t>0015</w:t>
            </w:r>
          </w:p>
        </w:tc>
        <w:tc>
          <w:tcPr>
            <w:tcW w:type="dxa" w:w="1224"/>
            <w:vAlign w:val="top"/>
          </w:tcPr>
          <w:p>
            <w:pPr>
              <w:spacing w:after="0"/>
            </w:pPr>
            <w:r/>
            <w:r>
              <w:rPr>
                <w:b w:val="0"/>
                <w:sz w:val="15"/>
              </w:rPr>
              <w:t>Proposed</w:t>
            </w:r>
          </w:p>
        </w:tc>
        <w:tc>
          <w:tcPr>
            <w:tcW w:type="dxa" w:w="2376"/>
            <w:vAlign w:val="top"/>
          </w:tcPr>
          <w:p>
            <w:pPr>
              <w:spacing w:after="0"/>
            </w:pPr>
            <w:r/>
            <w:r>
              <w:rPr>
                <w:b w:val="0"/>
                <w:sz w:val="15"/>
              </w:rPr>
              <w:t>Nostr Integration</w:t>
            </w:r>
          </w:p>
        </w:tc>
        <w:tc>
          <w:tcPr>
            <w:tcW w:type="dxa" w:w="6264"/>
            <w:vAlign w:val="top"/>
          </w:tcPr>
          <w:p>
            <w:pPr>
              <w:spacing w:after="0"/>
            </w:pPr>
            <w:r/>
            <w:r>
              <w:rPr>
                <w:b w:val="0"/>
                <w:sz w:val="15"/>
              </w:rPr>
              <w:t>Relay discovery with primary relay fallback.</w:t>
            </w:r>
          </w:p>
        </w:tc>
      </w:tr>
      <w:tr>
        <w:tc>
          <w:tcPr>
            <w:tcW w:type="dxa" w:w="792"/>
            <w:vAlign w:val="top"/>
          </w:tcPr>
          <w:p>
            <w:pPr>
              <w:spacing w:after="0"/>
            </w:pPr>
            <w:r/>
            <w:r>
              <w:rPr>
                <w:b w:val="0"/>
                <w:sz w:val="15"/>
              </w:rPr>
              <w:t>0016</w:t>
            </w:r>
          </w:p>
        </w:tc>
        <w:tc>
          <w:tcPr>
            <w:tcW w:type="dxa" w:w="1224"/>
            <w:vAlign w:val="top"/>
          </w:tcPr>
          <w:p>
            <w:pPr>
              <w:spacing w:after="0"/>
            </w:pPr>
            <w:r/>
            <w:r>
              <w:rPr>
                <w:b w:val="0"/>
                <w:sz w:val="15"/>
              </w:rPr>
              <w:t>Proposed</w:t>
            </w:r>
          </w:p>
        </w:tc>
        <w:tc>
          <w:tcPr>
            <w:tcW w:type="dxa" w:w="2376"/>
            <w:vAlign w:val="top"/>
          </w:tcPr>
          <w:p>
            <w:pPr>
              <w:spacing w:after="0"/>
            </w:pPr>
            <w:r/>
            <w:r>
              <w:rPr>
                <w:b w:val="0"/>
                <w:sz w:val="15"/>
              </w:rPr>
              <w:t>Wallet / Payments</w:t>
            </w:r>
          </w:p>
        </w:tc>
        <w:tc>
          <w:tcPr>
            <w:tcW w:type="dxa" w:w="6264"/>
            <w:vAlign w:val="top"/>
          </w:tcPr>
          <w:p>
            <w:pPr>
              <w:spacing w:after="0"/>
            </w:pPr>
            <w:r/>
            <w:r>
              <w:rPr>
                <w:b w:val="0"/>
                <w:sz w:val="15"/>
              </w:rPr>
              <w:t>NWC primary wallet integration with WebLN/BTCPay fallback.</w:t>
            </w:r>
          </w:p>
        </w:tc>
      </w:tr>
      <w:tr>
        <w:tc>
          <w:tcPr>
            <w:tcW w:type="dxa" w:w="792"/>
            <w:vAlign w:val="top"/>
          </w:tcPr>
          <w:p>
            <w:pPr>
              <w:spacing w:after="0"/>
            </w:pPr>
            <w:r/>
            <w:r>
              <w:rPr>
                <w:b w:val="0"/>
                <w:sz w:val="15"/>
              </w:rPr>
              <w:t>0017</w:t>
            </w:r>
          </w:p>
        </w:tc>
        <w:tc>
          <w:tcPr>
            <w:tcW w:type="dxa" w:w="1224"/>
            <w:vAlign w:val="top"/>
          </w:tcPr>
          <w:p>
            <w:pPr>
              <w:spacing w:after="0"/>
            </w:pPr>
            <w:r/>
            <w:r>
              <w:rPr>
                <w:b w:val="0"/>
                <w:sz w:val="15"/>
              </w:rPr>
              <w:t>Proposed</w:t>
            </w:r>
          </w:p>
        </w:tc>
        <w:tc>
          <w:tcPr>
            <w:tcW w:type="dxa" w:w="2376"/>
            <w:vAlign w:val="top"/>
          </w:tcPr>
          <w:p>
            <w:pPr>
              <w:spacing w:after="0"/>
            </w:pPr>
            <w:r/>
            <w:r>
              <w:rPr>
                <w:b w:val="0"/>
                <w:sz w:val="15"/>
              </w:rPr>
              <w:t>Payments</w:t>
            </w:r>
          </w:p>
        </w:tc>
        <w:tc>
          <w:tcPr>
            <w:tcW w:type="dxa" w:w="6264"/>
            <w:vAlign w:val="top"/>
          </w:tcPr>
          <w:p>
            <w:pPr>
              <w:spacing w:after="0"/>
            </w:pPr>
            <w:r/>
            <w:r>
              <w:rPr>
                <w:b w:val="0"/>
                <w:sz w:val="15"/>
              </w:rPr>
              <w:t>BTCPay Server for registration invoice state.</w:t>
            </w:r>
          </w:p>
        </w:tc>
      </w:tr>
      <w:tr>
        <w:tc>
          <w:tcPr>
            <w:tcW w:type="dxa" w:w="792"/>
            <w:vAlign w:val="top"/>
          </w:tcPr>
          <w:p>
            <w:pPr>
              <w:spacing w:after="0"/>
            </w:pPr>
            <w:r/>
            <w:r>
              <w:rPr>
                <w:b w:val="0"/>
                <w:sz w:val="15"/>
              </w:rPr>
              <w:t>0018</w:t>
            </w:r>
          </w:p>
        </w:tc>
        <w:tc>
          <w:tcPr>
            <w:tcW w:type="dxa" w:w="1224"/>
            <w:vAlign w:val="top"/>
          </w:tcPr>
          <w:p>
            <w:pPr>
              <w:spacing w:after="0"/>
            </w:pPr>
            <w:r/>
            <w:r>
              <w:rPr>
                <w:b w:val="0"/>
                <w:sz w:val="15"/>
              </w:rPr>
              <w:t>Proposed</w:t>
            </w:r>
          </w:p>
        </w:tc>
        <w:tc>
          <w:tcPr>
            <w:tcW w:type="dxa" w:w="2376"/>
            <w:vAlign w:val="top"/>
          </w:tcPr>
          <w:p>
            <w:pPr>
              <w:spacing w:after="0"/>
            </w:pPr>
            <w:r/>
            <w:r>
              <w:rPr>
                <w:b w:val="0"/>
                <w:sz w:val="15"/>
              </w:rPr>
              <w:t>Nostr Data</w:t>
            </w:r>
          </w:p>
        </w:tc>
        <w:tc>
          <w:tcPr>
            <w:tcW w:type="dxa" w:w="6264"/>
            <w:vAlign w:val="top"/>
          </w:tcPr>
          <w:p>
            <w:pPr>
              <w:spacing w:after="0"/>
            </w:pPr>
            <w:r/>
            <w:r>
              <w:rPr>
                <w:b w:val="0"/>
                <w:sz w:val="15"/>
              </w:rPr>
              <w:t>Custom event kinds for score submission and attestation.</w:t>
            </w:r>
          </w:p>
        </w:tc>
      </w:tr>
      <w:tr>
        <w:tc>
          <w:tcPr>
            <w:tcW w:type="dxa" w:w="792"/>
            <w:vAlign w:val="top"/>
          </w:tcPr>
          <w:p>
            <w:pPr>
              <w:spacing w:after="0"/>
            </w:pPr>
            <w:r/>
            <w:r>
              <w:rPr>
                <w:b w:val="0"/>
                <w:sz w:val="15"/>
              </w:rPr>
              <w:t>0019</w:t>
            </w:r>
          </w:p>
        </w:tc>
        <w:tc>
          <w:tcPr>
            <w:tcW w:type="dxa" w:w="1224"/>
            <w:vAlign w:val="top"/>
          </w:tcPr>
          <w:p>
            <w:pPr>
              <w:spacing w:after="0"/>
            </w:pPr>
            <w:r/>
            <w:r>
              <w:rPr>
                <w:b w:val="0"/>
                <w:sz w:val="15"/>
              </w:rPr>
              <w:t>Proposed</w:t>
            </w:r>
          </w:p>
        </w:tc>
        <w:tc>
          <w:tcPr>
            <w:tcW w:type="dxa" w:w="2376"/>
            <w:vAlign w:val="top"/>
          </w:tcPr>
          <w:p>
            <w:pPr>
              <w:spacing w:after="0"/>
            </w:pPr>
            <w:r/>
            <w:r>
              <w:rPr>
                <w:b w:val="0"/>
                <w:sz w:val="15"/>
              </w:rPr>
              <w:t>Verification</w:t>
            </w:r>
          </w:p>
        </w:tc>
        <w:tc>
          <w:tcPr>
            <w:tcW w:type="dxa" w:w="6264"/>
            <w:vAlign w:val="top"/>
          </w:tcPr>
          <w:p>
            <w:pPr>
              <w:spacing w:after="0"/>
            </w:pPr>
            <w:r/>
            <w:r>
              <w:rPr>
                <w:b w:val="0"/>
                <w:sz w:val="15"/>
              </w:rPr>
              <w:t>Real-time role-based score attestation verification.</w:t>
            </w:r>
          </w:p>
        </w:tc>
      </w:tr>
      <w:tr>
        <w:tc>
          <w:tcPr>
            <w:tcW w:type="dxa" w:w="792"/>
            <w:vAlign w:val="top"/>
          </w:tcPr>
          <w:p>
            <w:pPr>
              <w:spacing w:after="0"/>
            </w:pPr>
            <w:r/>
            <w:r>
              <w:rPr>
                <w:b w:val="0"/>
                <w:sz w:val="15"/>
              </w:rPr>
              <w:t>0020</w:t>
            </w:r>
          </w:p>
        </w:tc>
        <w:tc>
          <w:tcPr>
            <w:tcW w:type="dxa" w:w="1224"/>
            <w:vAlign w:val="top"/>
          </w:tcPr>
          <w:p>
            <w:pPr>
              <w:spacing w:after="0"/>
            </w:pPr>
            <w:r/>
            <w:r>
              <w:rPr>
                <w:b w:val="0"/>
                <w:sz w:val="15"/>
              </w:rPr>
              <w:t>Proposed</w:t>
            </w:r>
          </w:p>
        </w:tc>
        <w:tc>
          <w:tcPr>
            <w:tcW w:type="dxa" w:w="2376"/>
            <w:vAlign w:val="top"/>
          </w:tcPr>
          <w:p>
            <w:pPr>
              <w:spacing w:after="0"/>
            </w:pPr>
            <w:r/>
            <w:r>
              <w:rPr>
                <w:b w:val="0"/>
                <w:sz w:val="15"/>
              </w:rPr>
              <w:t>Governance / Scoring</w:t>
            </w:r>
          </w:p>
        </w:tc>
        <w:tc>
          <w:tcPr>
            <w:tcW w:type="dxa" w:w="6264"/>
            <w:vAlign w:val="top"/>
          </w:tcPr>
          <w:p>
            <w:pPr>
              <w:spacing w:after="0"/>
            </w:pPr>
            <w:r/>
            <w:r>
              <w:rPr>
                <w:b w:val="0"/>
                <w:sz w:val="15"/>
              </w:rPr>
              <w:t>Organizer-led dispute resolution for challenges.</w:t>
            </w:r>
          </w:p>
        </w:tc>
      </w:tr>
      <w:tr>
        <w:tc>
          <w:tcPr>
            <w:tcW w:type="dxa" w:w="792"/>
            <w:vAlign w:val="top"/>
          </w:tcPr>
          <w:p>
            <w:pPr>
              <w:spacing w:after="0"/>
            </w:pPr>
            <w:r/>
            <w:r>
              <w:rPr>
                <w:b w:val="0"/>
                <w:sz w:val="15"/>
              </w:rPr>
              <w:t>0021</w:t>
            </w:r>
          </w:p>
        </w:tc>
        <w:tc>
          <w:tcPr>
            <w:tcW w:type="dxa" w:w="1224"/>
            <w:vAlign w:val="top"/>
          </w:tcPr>
          <w:p>
            <w:pPr>
              <w:spacing w:after="0"/>
            </w:pPr>
            <w:r/>
            <w:r>
              <w:rPr>
                <w:b w:val="0"/>
                <w:sz w:val="15"/>
              </w:rPr>
              <w:t>Proposed</w:t>
            </w:r>
          </w:p>
        </w:tc>
        <w:tc>
          <w:tcPr>
            <w:tcW w:type="dxa" w:w="2376"/>
            <w:vAlign w:val="top"/>
          </w:tcPr>
          <w:p>
            <w:pPr>
              <w:spacing w:after="0"/>
            </w:pPr>
            <w:r/>
            <w:r>
              <w:rPr>
                <w:b w:val="0"/>
                <w:sz w:val="15"/>
              </w:rPr>
              <w:t>PWA / Offline</w:t>
            </w:r>
          </w:p>
        </w:tc>
        <w:tc>
          <w:tcPr>
            <w:tcW w:type="dxa" w:w="6264"/>
            <w:vAlign w:val="top"/>
          </w:tcPr>
          <w:p>
            <w:pPr>
              <w:spacing w:after="0"/>
            </w:pPr>
            <w:r/>
            <w:r>
              <w:rPr>
                <w:b w:val="0"/>
                <w:sz w:val="15"/>
              </w:rPr>
              <w:t>Service-worker-based offline scorekeeper workflow.</w:t>
            </w:r>
          </w:p>
        </w:tc>
      </w:tr>
      <w:tr>
        <w:tc>
          <w:tcPr>
            <w:tcW w:type="dxa" w:w="792"/>
            <w:vAlign w:val="top"/>
          </w:tcPr>
          <w:p>
            <w:pPr>
              <w:spacing w:after="0"/>
            </w:pPr>
            <w:r/>
            <w:r>
              <w:rPr>
                <w:b w:val="0"/>
                <w:sz w:val="15"/>
              </w:rPr>
              <w:t>0022</w:t>
            </w:r>
          </w:p>
        </w:tc>
        <w:tc>
          <w:tcPr>
            <w:tcW w:type="dxa" w:w="1224"/>
            <w:vAlign w:val="top"/>
          </w:tcPr>
          <w:p>
            <w:pPr>
              <w:spacing w:after="0"/>
            </w:pPr>
            <w:r/>
            <w:r>
              <w:rPr>
                <w:b w:val="0"/>
                <w:sz w:val="15"/>
              </w:rPr>
              <w:t>Proposed</w:t>
            </w:r>
          </w:p>
        </w:tc>
        <w:tc>
          <w:tcPr>
            <w:tcW w:type="dxa" w:w="2376"/>
            <w:vAlign w:val="top"/>
          </w:tcPr>
          <w:p>
            <w:pPr>
              <w:spacing w:after="0"/>
            </w:pPr>
            <w:r/>
            <w:r>
              <w:rPr>
                <w:b w:val="0"/>
                <w:sz w:val="15"/>
              </w:rPr>
              <w:t>PWA / Offline</w:t>
            </w:r>
          </w:p>
        </w:tc>
        <w:tc>
          <w:tcPr>
            <w:tcW w:type="dxa" w:w="6264"/>
            <w:vAlign w:val="top"/>
          </w:tcPr>
          <w:p>
            <w:pPr>
              <w:spacing w:after="0"/>
            </w:pPr>
            <w:r/>
            <w:r>
              <w:rPr>
                <w:b w:val="0"/>
                <w:sz w:val="15"/>
              </w:rPr>
              <w:t>Workbox for service-worker caching and precaching.</w:t>
            </w:r>
          </w:p>
        </w:tc>
      </w:tr>
    </w:tbl>
    <w:p/>
    <w:p>
      <w:pPr>
        <w:pStyle w:val="Heading2"/>
        <w:keepNext/>
      </w:pPr>
      <w:r>
        <w:t>MVP ADR critical path</w:t>
      </w:r>
    </w:p>
    <w:p>
      <w:pPr>
        <w:spacing w:after="40"/>
        <w:ind w:left="403" w:hanging="403"/>
      </w:pPr>
      <w:r>
        <w:rPr>
          <w:sz w:val="18"/>
        </w:rPr>
        <w:t>1.  Review and accept or revise ADR 0011: backend language/framework.</w:t>
      </w:r>
    </w:p>
    <w:p>
      <w:pPr>
        <w:spacing w:after="40"/>
        <w:ind w:left="403" w:hanging="403"/>
      </w:pPr>
      <w:r>
        <w:rPr>
          <w:sz w:val="18"/>
        </w:rPr>
        <w:t>2.  Review and accept or revise ADR 0012: frontend framework/PWA stack.</w:t>
      </w:r>
    </w:p>
    <w:p>
      <w:pPr>
        <w:spacing w:after="40"/>
        <w:ind w:left="403" w:hanging="403"/>
      </w:pPr>
      <w:r>
        <w:rPr>
          <w:sz w:val="18"/>
        </w:rPr>
        <w:t>3.  Review and accept or revise ADR 0013: database strategy.</w:t>
      </w:r>
    </w:p>
    <w:p>
      <w:pPr>
        <w:spacing w:after="40"/>
        <w:ind w:left="403" w:hanging="403"/>
      </w:pPr>
      <w:r>
        <w:rPr>
          <w:sz w:val="18"/>
        </w:rPr>
        <w:t>4.  Review and accept or revise ADR 0014: hosting/deployment strategy.</w:t>
      </w:r>
    </w:p>
    <w:p>
      <w:pPr>
        <w:spacing w:after="40"/>
        <w:ind w:left="403" w:hanging="403"/>
      </w:pPr>
      <w:r>
        <w:rPr>
          <w:sz w:val="18"/>
        </w:rPr>
        <w:t>5.  Review and accept or revise ADR 0015: relay strategy.</w:t>
      </w:r>
    </w:p>
    <w:p>
      <w:pPr>
        <w:spacing w:after="40"/>
        <w:ind w:left="403" w:hanging="403"/>
      </w:pPr>
      <w:r>
        <w:rPr>
          <w:sz w:val="18"/>
        </w:rPr>
        <w:t>6.  Review and accept or revise ADR 0016 and 0017: wallet connection and invoice flow.</w:t>
      </w:r>
    </w:p>
    <w:p>
      <w:pPr>
        <w:spacing w:after="40"/>
        <w:ind w:left="403" w:hanging="403"/>
      </w:pPr>
      <w:r>
        <w:rPr>
          <w:sz w:val="18"/>
        </w:rPr>
        <w:t>7.  Review and accept or revise ADR 0018 and 0019: score payloads and attestation verification.</w:t>
      </w:r>
    </w:p>
    <w:p>
      <w:pPr>
        <w:spacing w:after="40"/>
        <w:ind w:left="403" w:hanging="403"/>
      </w:pPr>
      <w:r>
        <w:rPr>
          <w:sz w:val="18"/>
        </w:rPr>
        <w:t>8.  Review and accept or revise ADR 0021 and 0022: offline scorekeeper and Workbox cache strategy.</w:t>
      </w:r>
    </w:p>
    <w:p>
      <w:pPr>
        <w:spacing w:after="40"/>
        <w:ind w:left="403" w:hanging="403"/>
      </w:pPr>
      <w:r>
        <w:rPr>
          <w:sz w:val="18"/>
        </w:rPr>
        <w:t>9.  Keep ADR 0020 close behind the score state machine; dispute resolution must exist before public event deployment.</w:t>
      </w:r>
    </w:p>
    <w:tbl>
      <w:tblPr>
        <w:tblStyle w:val="TableGrid"/>
        <w:tblW w:type="auto" w:w="0"/>
        <w:tblLook w:firstColumn="1" w:firstRow="1" w:lastColumn="0" w:lastRow="0" w:noHBand="0" w:noVBand="1" w:val="04A0"/>
      </w:tblPr>
      <w:tblGrid>
        <w:gridCol w:w="10368"/>
      </w:tblGrid>
      <w:tr>
        <w:tc>
          <w:tcPr>
            <w:tcW w:type="dxa" w:w="10368"/>
            <w:shd w:fill="FFF2E2"/>
          </w:tcPr>
          <w:p>
            <w:pPr>
              <w:spacing w:after="60"/>
            </w:pPr>
            <w:r>
              <w:rPr>
                <w:b/>
                <w:color w:val="F7931A"/>
                <w:sz w:val="21"/>
              </w:rPr>
              <w:t>Governance warning</w:t>
            </w:r>
          </w:p>
          <w:p>
            <w:pPr>
              <w:spacing w:after="0"/>
            </w:pPr>
            <w:r>
              <w:rPr>
                <w:sz w:val="19"/>
              </w:rPr>
              <w:t>Do not merge major feature work that assumes ADR 0011-0022 are final until the project explicitly accepts them. That discipline avoids silent lock-in.</w:t>
            </w:r>
          </w:p>
        </w:tc>
        <w:trPr>
          <w:tblHeader/>
        </w:trPr>
      </w:tr>
    </w:tbl>
    <w:p/>
    <w:p>
      <w:pPr>
        <w:pStyle w:val="Heading1"/>
        <w:keepNext/>
      </w:pPr>
      <w:r>
        <w:t>11. Data architecture: course data, maps, and user maintenance</w:t>
      </w:r>
    </w:p>
    <w:p>
      <w:r>
        <w:rPr>
          <w:sz w:val="18"/>
        </w:rPr>
        <w:t>Course data remains both a product feature and a strategic open-data problem. The project now has a data-source registry that captures source, license/terms, coverage, update method, fields, current status, and risk notes.</w:t>
      </w:r>
    </w:p>
    <w:p>
      <w:pPr>
        <w:pStyle w:val="Heading2"/>
        <w:keepNext/>
      </w:pPr>
      <w:r>
        <w:t>Registry sources currently captured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shd w:fill="4B1D83"/>
            <w:vAlign w:val="center"/>
          </w:tcPr>
          <w:p>
            <w:pPr>
              <w:spacing w:after="0"/>
            </w:pPr>
            <w:r/>
            <w:r>
              <w:rPr>
                <w:b/>
                <w:color w:val="FFFFFF"/>
                <w:sz w:val="15"/>
              </w:rPr>
              <w:t>Source</w:t>
            </w:r>
          </w:p>
        </w:tc>
        <w:tc>
          <w:tcPr>
            <w:tcW w:type="dxa" w:w="1872"/>
            <w:shd w:fill="4B1D83"/>
            <w:vAlign w:val="center"/>
          </w:tcPr>
          <w:p>
            <w:pPr>
              <w:spacing w:after="0"/>
            </w:pPr>
            <w:r/>
            <w:r>
              <w:rPr>
                <w:b/>
                <w:color w:val="FFFFFF"/>
                <w:sz w:val="15"/>
              </w:rPr>
              <w:t>License/terms</w:t>
            </w:r>
          </w:p>
        </w:tc>
        <w:tc>
          <w:tcPr>
            <w:tcW w:type="dxa" w:w="2088"/>
            <w:shd w:fill="4B1D83"/>
            <w:vAlign w:val="center"/>
          </w:tcPr>
          <w:p>
            <w:pPr>
              <w:spacing w:after="0"/>
            </w:pPr>
            <w:r/>
            <w:r>
              <w:rPr>
                <w:b/>
                <w:color w:val="FFFFFF"/>
                <w:sz w:val="15"/>
              </w:rPr>
              <w:t>Coverage</w:t>
            </w:r>
          </w:p>
        </w:tc>
        <w:tc>
          <w:tcPr>
            <w:tcW w:type="dxa" w:w="4608"/>
            <w:shd w:fill="4B1D83"/>
            <w:vAlign w:val="center"/>
          </w:tcPr>
          <w:p>
            <w:pPr>
              <w:spacing w:after="0"/>
            </w:pPr>
            <w:r/>
            <w:r>
              <w:rPr>
                <w:b/>
                <w:color w:val="FFFFFF"/>
                <w:sz w:val="15"/>
              </w:rPr>
              <w:t>Risk/use note</w:t>
            </w:r>
          </w:p>
        </w:tc>
      </w:tr>
      <w:tr>
        <w:tc>
          <w:tcPr>
            <w:tcW w:type="dxa" w:w="2088"/>
            <w:vAlign w:val="top"/>
          </w:tcPr>
          <w:p>
            <w:pPr>
              <w:spacing w:after="0"/>
            </w:pPr>
            <w:r/>
            <w:r>
              <w:rPr>
                <w:b w:val="0"/>
                <w:sz w:val="15"/>
              </w:rPr>
              <w:t>OpenGolfAPI</w:t>
            </w:r>
          </w:p>
        </w:tc>
        <w:tc>
          <w:tcPr>
            <w:tcW w:type="dxa" w:w="1872"/>
            <w:vAlign w:val="top"/>
          </w:tcPr>
          <w:p>
            <w:pPr>
              <w:spacing w:after="0"/>
            </w:pPr>
            <w:r/>
            <w:r>
              <w:rPr>
                <w:b w:val="0"/>
                <w:sz w:val="15"/>
              </w:rPr>
              <w:t>ODbL 1.0 candidate</w:t>
            </w:r>
          </w:p>
        </w:tc>
        <w:tc>
          <w:tcPr>
            <w:tcW w:type="dxa" w:w="2088"/>
            <w:vAlign w:val="top"/>
          </w:tcPr>
          <w:p>
            <w:pPr>
              <w:spacing w:after="0"/>
            </w:pPr>
            <w:r/>
            <w:r>
              <w:rPr>
                <w:b w:val="0"/>
                <w:sz w:val="15"/>
              </w:rPr>
              <w:t>Primarily United States</w:t>
            </w:r>
          </w:p>
        </w:tc>
        <w:tc>
          <w:tcPr>
            <w:tcW w:type="dxa" w:w="4608"/>
            <w:vAlign w:val="top"/>
          </w:tcPr>
          <w:p>
            <w:pPr>
              <w:spacing w:after="0"/>
            </w:pPr>
            <w:r/>
            <w:r>
              <w:rPr>
                <w:b w:val="0"/>
                <w:sz w:val="15"/>
              </w:rPr>
              <w:t>Strong US baseline; limited Europe/global coverage; good for A/B test.</w:t>
            </w:r>
          </w:p>
        </w:tc>
      </w:tr>
      <w:tr>
        <w:tc>
          <w:tcPr>
            <w:tcW w:type="dxa" w:w="2088"/>
            <w:vAlign w:val="top"/>
          </w:tcPr>
          <w:p>
            <w:pPr>
              <w:spacing w:after="0"/>
            </w:pPr>
            <w:r/>
            <w:r>
              <w:rPr>
                <w:b w:val="0"/>
                <w:sz w:val="15"/>
              </w:rPr>
              <w:t>OpenStreetMap</w:t>
            </w:r>
          </w:p>
        </w:tc>
        <w:tc>
          <w:tcPr>
            <w:tcW w:type="dxa" w:w="1872"/>
            <w:vAlign w:val="top"/>
          </w:tcPr>
          <w:p>
            <w:pPr>
              <w:spacing w:after="0"/>
            </w:pPr>
            <w:r/>
            <w:r>
              <w:rPr>
                <w:b w:val="0"/>
                <w:sz w:val="15"/>
              </w:rPr>
              <w:t>ODbL 1.0</w:t>
            </w:r>
          </w:p>
        </w:tc>
        <w:tc>
          <w:tcPr>
            <w:tcW w:type="dxa" w:w="2088"/>
            <w:vAlign w:val="top"/>
          </w:tcPr>
          <w:p>
            <w:pPr>
              <w:spacing w:after="0"/>
            </w:pPr>
            <w:r/>
            <w:r>
              <w:rPr>
                <w:b w:val="0"/>
                <w:sz w:val="15"/>
              </w:rPr>
              <w:t>Global</w:t>
            </w:r>
          </w:p>
        </w:tc>
        <w:tc>
          <w:tcPr>
            <w:tcW w:type="dxa" w:w="4608"/>
            <w:vAlign w:val="top"/>
          </w:tcPr>
          <w:p>
            <w:pPr>
              <w:spacing w:after="0"/>
            </w:pPr>
            <w:r/>
            <w:r>
              <w:rPr>
                <w:b w:val="0"/>
                <w:sz w:val="15"/>
              </w:rPr>
              <w:t>Best open global fallback for geodata; usually weak on full scorecard fields.</w:t>
            </w:r>
          </w:p>
        </w:tc>
      </w:tr>
      <w:tr>
        <w:tc>
          <w:tcPr>
            <w:tcW w:type="dxa" w:w="2088"/>
            <w:vAlign w:val="top"/>
          </w:tcPr>
          <w:p>
            <w:pPr>
              <w:spacing w:after="0"/>
            </w:pPr>
            <w:r/>
            <w:r>
              <w:rPr>
                <w:b w:val="0"/>
                <w:sz w:val="15"/>
              </w:rPr>
              <w:t>OSM-derived extracts</w:t>
            </w:r>
          </w:p>
        </w:tc>
        <w:tc>
          <w:tcPr>
            <w:tcW w:type="dxa" w:w="1872"/>
            <w:vAlign w:val="top"/>
          </w:tcPr>
          <w:p>
            <w:pPr>
              <w:spacing w:after="0"/>
            </w:pPr>
            <w:r/>
            <w:r>
              <w:rPr>
                <w:b w:val="0"/>
                <w:sz w:val="15"/>
              </w:rPr>
              <w:t>Usually ODbL</w:t>
            </w:r>
          </w:p>
        </w:tc>
        <w:tc>
          <w:tcPr>
            <w:tcW w:type="dxa" w:w="2088"/>
            <w:vAlign w:val="top"/>
          </w:tcPr>
          <w:p>
            <w:pPr>
              <w:spacing w:after="0"/>
            </w:pPr>
            <w:r/>
            <w:r>
              <w:rPr>
                <w:b w:val="0"/>
                <w:sz w:val="15"/>
              </w:rPr>
              <w:t>Regional/global depending on extract</w:t>
            </w:r>
          </w:p>
        </w:tc>
        <w:tc>
          <w:tcPr>
            <w:tcW w:type="dxa" w:w="4608"/>
            <w:vAlign w:val="top"/>
          </w:tcPr>
          <w:p>
            <w:pPr>
              <w:spacing w:after="0"/>
            </w:pPr>
            <w:r/>
            <w:r>
              <w:rPr>
                <w:b w:val="0"/>
                <w:sz w:val="15"/>
              </w:rPr>
              <w:t>Useful for reproducible course discovery and benchmarking.</w:t>
            </w:r>
          </w:p>
        </w:tc>
      </w:tr>
      <w:tr>
        <w:tc>
          <w:tcPr>
            <w:tcW w:type="dxa" w:w="2088"/>
            <w:vAlign w:val="top"/>
          </w:tcPr>
          <w:p>
            <w:pPr>
              <w:spacing w:after="0"/>
            </w:pPr>
            <w:r/>
            <w:r>
              <w:rPr>
                <w:b w:val="0"/>
                <w:sz w:val="15"/>
              </w:rPr>
              <w:t>Open Course Data Model</w:t>
            </w:r>
          </w:p>
        </w:tc>
        <w:tc>
          <w:tcPr>
            <w:tcW w:type="dxa" w:w="1872"/>
            <w:vAlign w:val="top"/>
          </w:tcPr>
          <w:p>
            <w:pPr>
              <w:spacing w:after="0"/>
            </w:pPr>
            <w:r/>
            <w:r>
              <w:rPr>
                <w:b w:val="0"/>
                <w:sz w:val="15"/>
              </w:rPr>
              <w:t>Schema/standard candidate</w:t>
            </w:r>
          </w:p>
        </w:tc>
        <w:tc>
          <w:tcPr>
            <w:tcW w:type="dxa" w:w="2088"/>
            <w:vAlign w:val="top"/>
          </w:tcPr>
          <w:p>
            <w:pPr>
              <w:spacing w:after="0"/>
            </w:pPr>
            <w:r/>
            <w:r>
              <w:rPr>
                <w:b w:val="0"/>
                <w:sz w:val="15"/>
              </w:rPr>
              <w:t>Universal schema, not a dataset</w:t>
            </w:r>
          </w:p>
        </w:tc>
        <w:tc>
          <w:tcPr>
            <w:tcW w:type="dxa" w:w="4608"/>
            <w:vAlign w:val="top"/>
          </w:tcPr>
          <w:p>
            <w:pPr>
              <w:spacing w:after="0"/>
            </w:pPr>
            <w:r/>
            <w:r>
              <w:rPr>
                <w:b w:val="0"/>
                <w:sz w:val="15"/>
              </w:rPr>
              <w:t>Canonical model candidate; license/version review required before embedding.</w:t>
            </w:r>
          </w:p>
        </w:tc>
      </w:tr>
      <w:tr>
        <w:tc>
          <w:tcPr>
            <w:tcW w:type="dxa" w:w="2088"/>
            <w:vAlign w:val="top"/>
          </w:tcPr>
          <w:p>
            <w:pPr>
              <w:spacing w:after="0"/>
            </w:pPr>
            <w:r/>
            <w:r>
              <w:rPr>
                <w:b w:val="0"/>
                <w:sz w:val="15"/>
              </w:rPr>
              <w:t>GolfCourse API</w:t>
            </w:r>
          </w:p>
        </w:tc>
        <w:tc>
          <w:tcPr>
            <w:tcW w:type="dxa" w:w="1872"/>
            <w:vAlign w:val="top"/>
          </w:tcPr>
          <w:p>
            <w:pPr>
              <w:spacing w:after="0"/>
            </w:pPr>
            <w:r/>
            <w:r>
              <w:rPr>
                <w:b w:val="0"/>
                <w:sz w:val="15"/>
              </w:rPr>
              <w:t>Terms unclear</w:t>
            </w:r>
          </w:p>
        </w:tc>
        <w:tc>
          <w:tcPr>
            <w:tcW w:type="dxa" w:w="2088"/>
            <w:vAlign w:val="top"/>
          </w:tcPr>
          <w:p>
            <w:pPr>
              <w:spacing w:after="0"/>
            </w:pPr>
            <w:r/>
            <w:r>
              <w:rPr>
                <w:b w:val="0"/>
                <w:sz w:val="15"/>
              </w:rPr>
              <w:t>Claims worldwide coverage</w:t>
            </w:r>
          </w:p>
        </w:tc>
        <w:tc>
          <w:tcPr>
            <w:tcW w:type="dxa" w:w="4608"/>
            <w:vAlign w:val="top"/>
          </w:tcPr>
          <w:p>
            <w:pPr>
              <w:spacing w:after="0"/>
            </w:pPr>
            <w:r/>
            <w:r>
              <w:rPr>
                <w:b w:val="0"/>
                <w:sz w:val="15"/>
              </w:rPr>
              <w:t>Candidate for discovery/enrichment only until redistribution rights are clear.</w:t>
            </w:r>
          </w:p>
        </w:tc>
      </w:tr>
      <w:tr>
        <w:tc>
          <w:tcPr>
            <w:tcW w:type="dxa" w:w="2088"/>
            <w:vAlign w:val="top"/>
          </w:tcPr>
          <w:p>
            <w:pPr>
              <w:spacing w:after="0"/>
            </w:pPr>
            <w:r/>
            <w:r>
              <w:rPr>
                <w:b w:val="0"/>
                <w:sz w:val="15"/>
              </w:rPr>
              <w:t>GolfAPI.io / iGolf / paid APIs</w:t>
            </w:r>
          </w:p>
        </w:tc>
        <w:tc>
          <w:tcPr>
            <w:tcW w:type="dxa" w:w="1872"/>
            <w:vAlign w:val="top"/>
          </w:tcPr>
          <w:p>
            <w:pPr>
              <w:spacing w:after="0"/>
            </w:pPr>
            <w:r/>
            <w:r>
              <w:rPr>
                <w:b w:val="0"/>
                <w:sz w:val="15"/>
              </w:rPr>
              <w:t>Commercial/proprietary</w:t>
            </w:r>
          </w:p>
        </w:tc>
        <w:tc>
          <w:tcPr>
            <w:tcW w:type="dxa" w:w="2088"/>
            <w:vAlign w:val="top"/>
          </w:tcPr>
          <w:p>
            <w:pPr>
              <w:spacing w:after="0"/>
            </w:pPr>
            <w:r/>
            <w:r>
              <w:rPr>
                <w:b w:val="0"/>
                <w:sz w:val="15"/>
              </w:rPr>
              <w:t>Broad global coverage</w:t>
            </w:r>
          </w:p>
        </w:tc>
        <w:tc>
          <w:tcPr>
            <w:tcW w:type="dxa" w:w="4608"/>
            <w:vAlign w:val="top"/>
          </w:tcPr>
          <w:p>
            <w:pPr>
              <w:spacing w:after="0"/>
            </w:pPr>
            <w:r/>
            <w:r>
              <w:rPr>
                <w:b w:val="0"/>
                <w:sz w:val="15"/>
              </w:rPr>
              <w:t>Sponsor/reference candidates only; not core open dataset sources without explicit rights.</w:t>
            </w:r>
          </w:p>
        </w:tc>
      </w:tr>
      <w:tr>
        <w:tc>
          <w:tcPr>
            <w:tcW w:type="dxa" w:w="2088"/>
            <w:vAlign w:val="top"/>
          </w:tcPr>
          <w:p>
            <w:pPr>
              <w:spacing w:after="0"/>
            </w:pPr>
            <w:r/>
            <w:r>
              <w:rPr>
                <w:b w:val="0"/>
                <w:sz w:val="15"/>
              </w:rPr>
              <w:t>National federations / club directories</w:t>
            </w:r>
          </w:p>
        </w:tc>
        <w:tc>
          <w:tcPr>
            <w:tcW w:type="dxa" w:w="1872"/>
            <w:vAlign w:val="top"/>
          </w:tcPr>
          <w:p>
            <w:pPr>
              <w:spacing w:after="0"/>
            </w:pPr>
            <w:r/>
            <w:r>
              <w:rPr>
                <w:b w:val="0"/>
                <w:sz w:val="15"/>
              </w:rPr>
              <w:t>Case-by-case</w:t>
            </w:r>
          </w:p>
        </w:tc>
        <w:tc>
          <w:tcPr>
            <w:tcW w:type="dxa" w:w="2088"/>
            <w:vAlign w:val="top"/>
          </w:tcPr>
          <w:p>
            <w:pPr>
              <w:spacing w:after="0"/>
            </w:pPr>
            <w:r/>
            <w:r>
              <w:rPr>
                <w:b w:val="0"/>
                <w:sz w:val="15"/>
              </w:rPr>
              <w:t>Country-specific</w:t>
            </w:r>
          </w:p>
        </w:tc>
        <w:tc>
          <w:tcPr>
            <w:tcW w:type="dxa" w:w="4608"/>
            <w:vAlign w:val="top"/>
          </w:tcPr>
          <w:p>
            <w:pPr>
              <w:spacing w:after="0"/>
            </w:pPr>
            <w:r/>
            <w:r>
              <w:rPr>
                <w:b w:val="0"/>
                <w:sz w:val="15"/>
              </w:rPr>
              <w:t>Useful for verification/outreach; scraping/redistribution often risky.</w:t>
            </w:r>
          </w:p>
        </w:tc>
      </w:tr>
      <w:tr>
        <w:tc>
          <w:tcPr>
            <w:tcW w:type="dxa" w:w="2088"/>
            <w:vAlign w:val="top"/>
          </w:tcPr>
          <w:p>
            <w:pPr>
              <w:spacing w:after="0"/>
            </w:pPr>
            <w:r/>
            <w:r>
              <w:rPr>
                <w:b w:val="0"/>
                <w:sz w:val="15"/>
              </w:rPr>
              <w:t>Municipal/open government portals</w:t>
            </w:r>
          </w:p>
        </w:tc>
        <w:tc>
          <w:tcPr>
            <w:tcW w:type="dxa" w:w="1872"/>
            <w:vAlign w:val="top"/>
          </w:tcPr>
          <w:p>
            <w:pPr>
              <w:spacing w:after="0"/>
            </w:pPr>
            <w:r/>
            <w:r>
              <w:rPr>
                <w:b w:val="0"/>
                <w:sz w:val="15"/>
              </w:rPr>
              <w:t>Varies</w:t>
            </w:r>
          </w:p>
        </w:tc>
        <w:tc>
          <w:tcPr>
            <w:tcW w:type="dxa" w:w="2088"/>
            <w:vAlign w:val="top"/>
          </w:tcPr>
          <w:p>
            <w:pPr>
              <w:spacing w:after="0"/>
            </w:pPr>
            <w:r/>
            <w:r>
              <w:rPr>
                <w:b w:val="0"/>
                <w:sz w:val="15"/>
              </w:rPr>
              <w:t>Local/regional</w:t>
            </w:r>
          </w:p>
        </w:tc>
        <w:tc>
          <w:tcPr>
            <w:tcW w:type="dxa" w:w="4608"/>
            <w:vAlign w:val="top"/>
          </w:tcPr>
          <w:p>
            <w:pPr>
              <w:spacing w:after="0"/>
            </w:pPr>
            <w:r/>
            <w:r>
              <w:rPr>
                <w:b w:val="0"/>
                <w:sz w:val="15"/>
              </w:rPr>
              <w:t>Supplemental source; licenses and field completeness vary.</w:t>
            </w:r>
          </w:p>
        </w:tc>
      </w:tr>
      <w:tr>
        <w:tc>
          <w:tcPr>
            <w:tcW w:type="dxa" w:w="2088"/>
            <w:vAlign w:val="top"/>
          </w:tcPr>
          <w:p>
            <w:pPr>
              <w:spacing w:after="0"/>
            </w:pPr>
            <w:r/>
            <w:r>
              <w:rPr>
                <w:b w:val="0"/>
                <w:sz w:val="15"/>
              </w:rPr>
              <w:t>Direct club/community submissions</w:t>
            </w:r>
          </w:p>
        </w:tc>
        <w:tc>
          <w:tcPr>
            <w:tcW w:type="dxa" w:w="1872"/>
            <w:vAlign w:val="top"/>
          </w:tcPr>
          <w:p>
            <w:pPr>
              <w:spacing w:after="0"/>
            </w:pPr>
            <w:r/>
            <w:r>
              <w:rPr>
                <w:b w:val="0"/>
                <w:sz w:val="15"/>
              </w:rPr>
              <w:t>Project contributor terms required</w:t>
            </w:r>
          </w:p>
        </w:tc>
        <w:tc>
          <w:tcPr>
            <w:tcW w:type="dxa" w:w="2088"/>
            <w:vAlign w:val="top"/>
          </w:tcPr>
          <w:p>
            <w:pPr>
              <w:spacing w:after="0"/>
            </w:pPr>
            <w:r/>
            <w:r>
              <w:rPr>
                <w:b w:val="0"/>
                <w:sz w:val="15"/>
              </w:rPr>
              <w:t>Global</w:t>
            </w:r>
          </w:p>
        </w:tc>
        <w:tc>
          <w:tcPr>
            <w:tcW w:type="dxa" w:w="4608"/>
            <w:vAlign w:val="top"/>
          </w:tcPr>
          <w:p>
            <w:pPr>
              <w:spacing w:after="0"/>
            </w:pPr>
            <w:r/>
            <w:r>
              <w:rPr>
                <w:b w:val="0"/>
                <w:sz w:val="15"/>
              </w:rPr>
              <w:t>Long-term enrichment model with moderation, provenance, and rollback.</w:t>
            </w:r>
          </w:p>
        </w:tc>
      </w:tr>
    </w:tbl>
    <w:p/>
    <w:p>
      <w:pPr>
        <w:pStyle w:val="Heading2"/>
        <w:keepNext/>
      </w:pPr>
      <w:r>
        <w:t>Data quality model</w:t>
      </w:r>
    </w:p>
    <w:p>
      <w:pPr>
        <w:pStyle w:val="ListBullet"/>
        <w:spacing w:after="40"/>
      </w:pPr>
      <w:r>
        <w:t>Separate raw source records from normalized canonical course records.</w:t>
      </w:r>
    </w:p>
    <w:p>
      <w:pPr>
        <w:pStyle w:val="ListBullet"/>
        <w:spacing w:after="40"/>
      </w:pPr>
      <w:r>
        <w:t>Record provenance at field level where feasible: source URL, license, importer, timestamp, transform, confidence.</w:t>
      </w:r>
    </w:p>
    <w:p>
      <w:pPr>
        <w:pStyle w:val="ListBullet"/>
        <w:spacing w:after="40"/>
      </w:pPr>
      <w:r>
        <w:t>Distinguish factual course data, subjective user ratings, attested corrections, and organizer-approved scoring data.</w:t>
      </w:r>
    </w:p>
    <w:p>
      <w:pPr>
        <w:pStyle w:val="ListBullet"/>
        <w:spacing w:after="40"/>
      </w:pPr>
      <w:r>
        <w:t>Scoring-critical fields such as par, hole count, tee sets, rating/slope, and official course selection require stronger review than ordinary venue notes.</w:t>
      </w:r>
    </w:p>
    <w:p>
      <w:pPr>
        <w:pStyle w:val="ListBullet"/>
        <w:spacing w:after="40"/>
      </w:pPr>
      <w:r>
        <w:t>Community course contributions should start as proposals, not direct edits to official data.</w:t>
      </w:r>
    </w:p>
    <w:p>
      <w:pPr>
        <w:pStyle w:val="ListBullet"/>
        <w:spacing w:after="40"/>
      </w:pPr>
      <w:r>
        <w:t>ODbL mixing and redistribution require a dedicated license decision before publishing a combined course database.</w:t>
      </w:r>
    </w:p>
    <w:p>
      <w:pPr>
        <w:pStyle w:val="Heading2"/>
        <w:keepNext/>
      </w:pPr>
      <w:r>
        <w:t>A/B data availability benchmark</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4B1D83"/>
            <w:vAlign w:val="center"/>
          </w:tcPr>
          <w:p>
            <w:pPr>
              <w:spacing w:after="0"/>
            </w:pPr>
            <w:r/>
            <w:r>
              <w:rPr>
                <w:b/>
                <w:color w:val="FFFFFF"/>
                <w:sz w:val="16"/>
              </w:rPr>
              <w:t>Benchmark area</w:t>
            </w:r>
          </w:p>
        </w:tc>
        <w:tc>
          <w:tcPr>
            <w:tcW w:type="dxa" w:w="8064"/>
            <w:shd w:fill="4B1D83"/>
            <w:vAlign w:val="center"/>
          </w:tcPr>
          <w:p>
            <w:pPr>
              <w:spacing w:after="0"/>
            </w:pPr>
            <w:r/>
            <w:r>
              <w:rPr>
                <w:b/>
                <w:color w:val="FFFFFF"/>
                <w:sz w:val="16"/>
              </w:rPr>
              <w:t>Purpose</w:t>
            </w:r>
          </w:p>
        </w:tc>
      </w:tr>
      <w:tr>
        <w:tc>
          <w:tcPr>
            <w:tcW w:type="dxa" w:w="2592"/>
            <w:vAlign w:val="top"/>
          </w:tcPr>
          <w:p>
            <w:pPr>
              <w:spacing w:after="0"/>
            </w:pPr>
            <w:r/>
            <w:r>
              <w:rPr>
                <w:b w:val="0"/>
                <w:sz w:val="16"/>
              </w:rPr>
              <w:t>US sample</w:t>
            </w:r>
          </w:p>
        </w:tc>
        <w:tc>
          <w:tcPr>
            <w:tcW w:type="dxa" w:w="8064"/>
            <w:vAlign w:val="top"/>
          </w:tcPr>
          <w:p>
            <w:pPr>
              <w:spacing w:after="0"/>
            </w:pPr>
            <w:r/>
            <w:r>
              <w:rPr>
                <w:b w:val="0"/>
                <w:sz w:val="16"/>
              </w:rPr>
              <w:t>Use OpenGolfAPI plus OSM comparison to measure scorecard completeness, tee data, geodata, and coverage quality.</w:t>
            </w:r>
          </w:p>
        </w:tc>
      </w:tr>
      <w:tr>
        <w:tc>
          <w:tcPr>
            <w:tcW w:type="dxa" w:w="2592"/>
            <w:vAlign w:val="top"/>
          </w:tcPr>
          <w:p>
            <w:pPr>
              <w:spacing w:after="0"/>
            </w:pPr>
            <w:r/>
            <w:r>
              <w:rPr>
                <w:b w:val="0"/>
                <w:sz w:val="16"/>
              </w:rPr>
              <w:t>Europe sample</w:t>
            </w:r>
          </w:p>
        </w:tc>
        <w:tc>
          <w:tcPr>
            <w:tcW w:type="dxa" w:w="8064"/>
            <w:vAlign w:val="top"/>
          </w:tcPr>
          <w:p>
            <w:pPr>
              <w:spacing w:after="0"/>
            </w:pPr>
            <w:r/>
            <w:r>
              <w:rPr>
                <w:b w:val="0"/>
                <w:sz w:val="16"/>
              </w:rPr>
              <w:t>Use OSM-derived discovery plus national/federation/municipal candidates to measure gaps and manual enrichment burden.</w:t>
            </w:r>
          </w:p>
        </w:tc>
      </w:tr>
      <w:tr>
        <w:tc>
          <w:tcPr>
            <w:tcW w:type="dxa" w:w="2592"/>
            <w:vAlign w:val="top"/>
          </w:tcPr>
          <w:p>
            <w:pPr>
              <w:spacing w:after="0"/>
            </w:pPr>
            <w:r/>
            <w:r>
              <w:rPr>
                <w:b w:val="0"/>
                <w:sz w:val="16"/>
              </w:rPr>
              <w:t>Germany/Czech Republic</w:t>
            </w:r>
          </w:p>
        </w:tc>
        <w:tc>
          <w:tcPr>
            <w:tcW w:type="dxa" w:w="8064"/>
            <w:vAlign w:val="top"/>
          </w:tcPr>
          <w:p>
            <w:pPr>
              <w:spacing w:after="0"/>
            </w:pPr>
            <w:r/>
            <w:r>
              <w:rPr>
                <w:b w:val="0"/>
                <w:sz w:val="16"/>
              </w:rPr>
              <w:t>Treat as priority European pilots because they were early target regions for source discovery.</w:t>
            </w:r>
          </w:p>
        </w:tc>
      </w:tr>
      <w:tr>
        <w:tc>
          <w:tcPr>
            <w:tcW w:type="dxa" w:w="2592"/>
            <w:vAlign w:val="top"/>
          </w:tcPr>
          <w:p>
            <w:pPr>
              <w:spacing w:after="0"/>
            </w:pPr>
            <w:r/>
            <w:r>
              <w:rPr>
                <w:b w:val="0"/>
                <w:sz w:val="16"/>
              </w:rPr>
              <w:t>El Salvador</w:t>
            </w:r>
          </w:p>
        </w:tc>
        <w:tc>
          <w:tcPr>
            <w:tcW w:type="dxa" w:w="8064"/>
            <w:vAlign w:val="top"/>
          </w:tcPr>
          <w:p>
            <w:pPr>
              <w:spacing w:after="0"/>
            </w:pPr>
            <w:r/>
            <w:r>
              <w:rPr>
                <w:b w:val="0"/>
                <w:sz w:val="16"/>
              </w:rPr>
              <w:t>Add as a Bitcoin-relevant international pilot; expect OSM/direct club verification to matter more than full open scorecard datasets.</w:t>
            </w:r>
          </w:p>
        </w:tc>
      </w:tr>
    </w:tbl>
    <w:p/>
    <w:p>
      <w:pPr>
        <w:pStyle w:val="Heading1"/>
        <w:keepNext/>
      </w:pPr>
      <w:r>
        <w:t>12. Score integrity: validity attestations and timestamp anchoring</w:t>
      </w:r>
    </w:p>
    <w:tbl>
      <w:tblPr>
        <w:tblStyle w:val="TableGrid"/>
        <w:tblW w:type="auto" w:w="0"/>
        <w:tblLook w:firstColumn="1" w:firstRow="1" w:lastColumn="0" w:lastRow="0" w:noHBand="0" w:noVBand="1" w:val="04A0"/>
      </w:tblPr>
      <w:tblGrid>
        <w:gridCol w:w="10368"/>
      </w:tblGrid>
      <w:tr>
        <w:tc>
          <w:tcPr>
            <w:tcW w:type="dxa" w:w="10368"/>
            <w:shd w:fill="FFF2E2"/>
          </w:tcPr>
          <w:p>
            <w:pPr>
              <w:spacing w:after="60"/>
            </w:pPr>
            <w:r>
              <w:rPr>
                <w:b/>
                <w:color w:val="F7931A"/>
                <w:sz w:val="21"/>
              </w:rPr>
              <w:t>Important correction</w:t>
            </w:r>
          </w:p>
          <w:p>
            <w:pPr>
              <w:spacing w:after="0"/>
            </w:pPr>
            <w:r>
              <w:rPr>
                <w:sz w:val="19"/>
              </w:rPr>
              <w:t>Scorecard validity attestation and timestamp anchoring are separate mechanisms. A signer attestation says a scorecard is valid or plausible according to event rules. Timestamp anchoring proves the scorecard or attestation existed at or before a certain time. They can work hand in hand, but they should not be conflated.</w:t>
            </w:r>
          </w:p>
        </w:tc>
        <w:trPr>
          <w:tblHeader/>
        </w:trPr>
      </w:tr>
    </w:tbl>
    <w:p/>
    <w:p>
      <w:pPr>
        <w:pStyle w:val="Heading2"/>
        <w:keepNext/>
      </w:pPr>
      <w:r>
        <w:t>Scorecard trust model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4B1D83"/>
            <w:vAlign w:val="center"/>
          </w:tcPr>
          <w:p>
            <w:pPr>
              <w:spacing w:after="0"/>
            </w:pPr>
            <w:r/>
            <w:r>
              <w:rPr>
                <w:b/>
                <w:color w:val="FFFFFF"/>
                <w:sz w:val="16"/>
              </w:rPr>
              <w:t>Mechanism</w:t>
            </w:r>
          </w:p>
        </w:tc>
        <w:tc>
          <w:tcPr>
            <w:tcW w:type="dxa" w:w="8208"/>
            <w:shd w:fill="4B1D83"/>
            <w:vAlign w:val="center"/>
          </w:tcPr>
          <w:p>
            <w:pPr>
              <w:spacing w:after="0"/>
            </w:pPr>
            <w:r/>
            <w:r>
              <w:rPr>
                <w:b/>
                <w:color w:val="FFFFFF"/>
                <w:sz w:val="16"/>
              </w:rPr>
              <w:t>Role in product</w:t>
            </w:r>
          </w:p>
        </w:tc>
      </w:tr>
      <w:tr>
        <w:tc>
          <w:tcPr>
            <w:tcW w:type="dxa" w:w="2448"/>
            <w:vAlign w:val="top"/>
          </w:tcPr>
          <w:p>
            <w:pPr>
              <w:spacing w:after="0"/>
            </w:pPr>
            <w:r/>
            <w:r>
              <w:rPr>
                <w:b w:val="0"/>
                <w:sz w:val="16"/>
              </w:rPr>
              <w:t>Player submission</w:t>
            </w:r>
          </w:p>
        </w:tc>
        <w:tc>
          <w:tcPr>
            <w:tcW w:type="dxa" w:w="8208"/>
            <w:vAlign w:val="top"/>
          </w:tcPr>
          <w:p>
            <w:pPr>
              <w:spacing w:after="0"/>
            </w:pPr>
            <w:r/>
            <w:r>
              <w:rPr>
                <w:b w:val="0"/>
                <w:sz w:val="16"/>
              </w:rPr>
              <w:t>A player or scorekeeper submits a scorecard payload and signs/publishes or stores the submission according to the event flow.</w:t>
            </w:r>
          </w:p>
        </w:tc>
      </w:tr>
      <w:tr>
        <w:tc>
          <w:tcPr>
            <w:tcW w:type="dxa" w:w="2448"/>
            <w:vAlign w:val="top"/>
          </w:tcPr>
          <w:p>
            <w:pPr>
              <w:spacing w:after="0"/>
            </w:pPr>
            <w:r/>
            <w:r>
              <w:rPr>
                <w:b w:val="0"/>
                <w:sz w:val="16"/>
              </w:rPr>
              <w:t>Validity attestation</w:t>
            </w:r>
          </w:p>
        </w:tc>
        <w:tc>
          <w:tcPr>
            <w:tcW w:type="dxa" w:w="8208"/>
            <w:vAlign w:val="top"/>
          </w:tcPr>
          <w:p>
            <w:pPr>
              <w:spacing w:after="0"/>
            </w:pPr>
            <w:r/>
            <w:r>
              <w:rPr>
                <w:b w:val="0"/>
                <w:sz w:val="16"/>
              </w:rPr>
              <w:t>One or more known signers - marker, scorekeeper, peer, organizer, or trusted course representative - attest that the scorecard is valid.</w:t>
            </w:r>
          </w:p>
        </w:tc>
      </w:tr>
      <w:tr>
        <w:tc>
          <w:tcPr>
            <w:tcW w:type="dxa" w:w="2448"/>
            <w:vAlign w:val="top"/>
          </w:tcPr>
          <w:p>
            <w:pPr>
              <w:spacing w:after="0"/>
            </w:pPr>
            <w:r/>
            <w:r>
              <w:rPr>
                <w:b w:val="0"/>
                <w:sz w:val="16"/>
              </w:rPr>
              <w:t>Role-based MVP verification</w:t>
            </w:r>
          </w:p>
        </w:tc>
        <w:tc>
          <w:tcPr>
            <w:tcW w:type="dxa" w:w="8208"/>
            <w:vAlign w:val="top"/>
          </w:tcPr>
          <w:p>
            <w:pPr>
              <w:spacing w:after="0"/>
            </w:pPr>
            <w:r/>
            <w:r>
              <w:rPr>
                <w:b w:val="0"/>
                <w:sz w:val="16"/>
              </w:rPr>
              <w:t>MVP starts simple: marker approval and organizer override. Peer/reputation mechanisms can come later.</w:t>
            </w:r>
          </w:p>
        </w:tc>
      </w:tr>
      <w:tr>
        <w:tc>
          <w:tcPr>
            <w:tcW w:type="dxa" w:w="2448"/>
            <w:vAlign w:val="top"/>
          </w:tcPr>
          <w:p>
            <w:pPr>
              <w:spacing w:after="0"/>
            </w:pPr>
            <w:r/>
            <w:r>
              <w:rPr>
                <w:b w:val="0"/>
                <w:sz w:val="16"/>
              </w:rPr>
              <w:t>Timestamp anchoring</w:t>
            </w:r>
          </w:p>
        </w:tc>
        <w:tc>
          <w:tcPr>
            <w:tcW w:type="dxa" w:w="8208"/>
            <w:vAlign w:val="top"/>
          </w:tcPr>
          <w:p>
            <w:pPr>
              <w:spacing w:after="0"/>
            </w:pPr>
            <w:r/>
            <w:r>
              <w:rPr>
                <w:b w:val="0"/>
                <w:sz w:val="16"/>
              </w:rPr>
              <w:t>NIP-03/OpenTimestamps-style anchoring can prove existence before a deadline, useful for pre-event qualification cutoffs or disputes.</w:t>
            </w:r>
          </w:p>
        </w:tc>
      </w:tr>
      <w:tr>
        <w:tc>
          <w:tcPr>
            <w:tcW w:type="dxa" w:w="2448"/>
            <w:vAlign w:val="top"/>
          </w:tcPr>
          <w:p>
            <w:pPr>
              <w:spacing w:after="0"/>
            </w:pPr>
            <w:r/>
            <w:r>
              <w:rPr>
                <w:b w:val="0"/>
                <w:sz w:val="16"/>
              </w:rPr>
              <w:t>Audit trail</w:t>
            </w:r>
          </w:p>
        </w:tc>
        <w:tc>
          <w:tcPr>
            <w:tcW w:type="dxa" w:w="8208"/>
            <w:vAlign w:val="top"/>
          </w:tcPr>
          <w:p>
            <w:pPr>
              <w:spacing w:after="0"/>
            </w:pPr>
            <w:r/>
            <w:r>
              <w:rPr>
                <w:b w:val="0"/>
                <w:sz w:val="16"/>
              </w:rPr>
              <w:t>Database and Nostr event references should preserve who submitted, who attested, what was hashed, when it happened, and what changed.</w:t>
            </w:r>
          </w:p>
        </w:tc>
      </w:tr>
      <w:tr>
        <w:tc>
          <w:tcPr>
            <w:tcW w:type="dxa" w:w="2448"/>
            <w:vAlign w:val="top"/>
          </w:tcPr>
          <w:p>
            <w:pPr>
              <w:spacing w:after="0"/>
            </w:pPr>
            <w:r/>
            <w:r>
              <w:rPr>
                <w:b w:val="0"/>
                <w:sz w:val="16"/>
              </w:rPr>
              <w:t>Disputes</w:t>
            </w:r>
          </w:p>
        </w:tc>
        <w:tc>
          <w:tcPr>
            <w:tcW w:type="dxa" w:w="8208"/>
            <w:vAlign w:val="top"/>
          </w:tcPr>
          <w:p>
            <w:pPr>
              <w:spacing w:after="0"/>
            </w:pPr>
            <w:r/>
            <w:r>
              <w:rPr>
                <w:b w:val="0"/>
                <w:sz w:val="16"/>
              </w:rPr>
              <w:t>Organizer-led dispute workflow handles challenges, evidence, decisions, and appeals.</w:t>
            </w:r>
          </w:p>
        </w:tc>
      </w:tr>
    </w:tbl>
    <w:p/>
    <w:p>
      <w:pPr>
        <w:pStyle w:val="Heading2"/>
        <w:keepNext/>
      </w:pPr>
      <w:r>
        <w:t>Proposed score states</w:t>
      </w:r>
    </w:p>
    <w:tbl>
      <w:tblPr>
        <w:tblStyle w:val="TableGrid"/>
        <w:tblW w:type="auto" w:w="0"/>
        <w:tblLook w:firstColumn="1" w:firstRow="1" w:lastColumn="0" w:lastRow="0" w:noHBand="0" w:noVBand="1" w:val="04A0"/>
      </w:tblPr>
      <w:tblGrid>
        <w:gridCol w:w="10368"/>
      </w:tblGrid>
      <w:tr>
        <w:tc>
          <w:tcPr>
            <w:tcW w:type="dxa" w:w="10368"/>
            <w:shd w:fill="F8FAFC"/>
          </w:tcPr>
          <w:p>
            <w:pPr>
              <w:spacing w:after="0"/>
            </w:pPr>
            <w:r>
              <w:rPr>
                <w:rFonts w:ascii="Courier New" w:hAnsi="Courier New" w:eastAsia="Courier New"/>
                <w:sz w:val="16"/>
              </w:rPr>
              <w:t>draft/local -&gt; submitted -&gt; attested/approved -&gt; accepted</w:t>
              <w:br/>
              <w:t xml:space="preserve">                  |              |</w:t>
              <w:br/>
              <w:t xml:space="preserve">                  |              -&gt; disputed -&gt; organizer decision -&gt; accepted/rejected/reopened</w:t>
              <w:br/>
              <w:t xml:space="preserve">                  -&gt; rejected/withdrawn</w:t>
            </w:r>
          </w:p>
        </w:tc>
        <w:trPr>
          <w:tblHeader/>
        </w:trPr>
      </w:tr>
    </w:tbl>
    <w:p/>
    <w:p>
      <w:pPr>
        <w:pStyle w:val="Heading2"/>
        <w:keepNext/>
      </w:pPr>
      <w:r>
        <w:t>Design implications</w:t>
      </w:r>
    </w:p>
    <w:p>
      <w:pPr>
        <w:pStyle w:val="ListBullet"/>
        <w:spacing w:after="40"/>
      </w:pPr>
      <w:r>
        <w:t>Attestations should reference a stable scorecard hash or event ID so later edits cannot silently change what was validated.</w:t>
      </w:r>
    </w:p>
    <w:p>
      <w:pPr>
        <w:pStyle w:val="ListBullet"/>
        <w:spacing w:after="40"/>
      </w:pPr>
      <w:r>
        <w:t>Attestor role and authority must be visible: marker, organizer, peer, course representative, or automated system.</w:t>
      </w:r>
    </w:p>
    <w:p>
      <w:pPr>
        <w:pStyle w:val="ListBullet"/>
        <w:spacing w:after="40"/>
      </w:pPr>
      <w:r>
        <w:t>Zaps, badges, likes, or popularity must never be treated as proof that a score is valid.</w:t>
      </w:r>
    </w:p>
    <w:p>
      <w:pPr>
        <w:pStyle w:val="ListBullet"/>
        <w:spacing w:after="40"/>
      </w:pPr>
      <w:r>
        <w:t>Timestamp anchoring is useful when proof of existence matters, such as pre-event qualification deadlines, but it does not itself validate the score content.</w:t>
      </w:r>
    </w:p>
    <w:p>
      <w:pPr>
        <w:pStyle w:val="ListBullet"/>
        <w:spacing w:after="40"/>
      </w:pPr>
      <w:r>
        <w:t>ADR 0006 and ADRs 0018-0020 are the decision cluster for this domain.</w:t>
      </w:r>
    </w:p>
    <w:p>
      <w:pPr>
        <w:pStyle w:val="Heading1"/>
        <w:keepNext/>
      </w:pPr>
      <w:r>
        <w:t>13. Wallet, payments, zaps, rewards, and non-custody</w:t>
      </w:r>
    </w:p>
    <w:p>
      <w:r>
        <w:rPr>
          <w:sz w:val="18"/>
        </w:rPr>
        <w:t>The payment direction is stable at the product level: Bitcoin only, Lightning-first UX, non-custodial by design. The implementation stack remains Proposed in ADRs 0016 and 0017.</w:t>
      </w:r>
    </w:p>
    <w:p>
      <w:pPr>
        <w:pStyle w:val="Heading2"/>
        <w:keepNext/>
      </w:pPr>
      <w:r>
        <w:t>Payment and wallet components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96"/>
            <w:shd w:fill="4B1D83"/>
            <w:vAlign w:val="center"/>
          </w:tcPr>
          <w:p>
            <w:pPr>
              <w:spacing w:after="0"/>
            </w:pPr>
            <w:r/>
            <w:r>
              <w:rPr>
                <w:b/>
                <w:color w:val="FFFFFF"/>
                <w:sz w:val="16"/>
              </w:rPr>
              <w:t>Component</w:t>
            </w:r>
          </w:p>
        </w:tc>
        <w:tc>
          <w:tcPr>
            <w:tcW w:type="dxa" w:w="7560"/>
            <w:shd w:fill="4B1D83"/>
            <w:vAlign w:val="center"/>
          </w:tcPr>
          <w:p>
            <w:pPr>
              <w:spacing w:after="0"/>
            </w:pPr>
            <w:r/>
            <w:r>
              <w:rPr>
                <w:b/>
                <w:color w:val="FFFFFF"/>
                <w:sz w:val="16"/>
              </w:rPr>
              <w:t>Product role</w:t>
            </w:r>
          </w:p>
        </w:tc>
      </w:tr>
      <w:tr>
        <w:tc>
          <w:tcPr>
            <w:tcW w:type="dxa" w:w="3096"/>
            <w:vAlign w:val="top"/>
          </w:tcPr>
          <w:p>
            <w:pPr>
              <w:spacing w:after="0"/>
            </w:pPr>
            <w:r/>
            <w:r>
              <w:rPr>
                <w:b w:val="0"/>
                <w:sz w:val="16"/>
              </w:rPr>
              <w:t>Nostr Wallet Connect / NIP-47</w:t>
            </w:r>
          </w:p>
        </w:tc>
        <w:tc>
          <w:tcPr>
            <w:tcW w:type="dxa" w:w="7560"/>
            <w:vAlign w:val="top"/>
          </w:tcPr>
          <w:p>
            <w:pPr>
              <w:spacing w:after="0"/>
            </w:pPr>
            <w:r/>
            <w:r>
              <w:rPr>
                <w:b w:val="0"/>
                <w:sz w:val="16"/>
              </w:rPr>
              <w:t>Primary proposed wallet integration for user-side wallet connection, fee payment, zaps, and rewards.</w:t>
            </w:r>
          </w:p>
        </w:tc>
      </w:tr>
      <w:tr>
        <w:tc>
          <w:tcPr>
            <w:tcW w:type="dxa" w:w="3096"/>
            <w:vAlign w:val="top"/>
          </w:tcPr>
          <w:p>
            <w:pPr>
              <w:spacing w:after="0"/>
            </w:pPr>
            <w:r/>
            <w:r>
              <w:rPr>
                <w:b w:val="0"/>
                <w:sz w:val="16"/>
              </w:rPr>
              <w:t>WebLN</w:t>
            </w:r>
          </w:p>
        </w:tc>
        <w:tc>
          <w:tcPr>
            <w:tcW w:type="dxa" w:w="7560"/>
            <w:vAlign w:val="top"/>
          </w:tcPr>
          <w:p>
            <w:pPr>
              <w:spacing w:after="0"/>
            </w:pPr>
            <w:r/>
            <w:r>
              <w:rPr>
                <w:b w:val="0"/>
                <w:sz w:val="16"/>
              </w:rPr>
              <w:t>Fallback or compatibility path for users with browser wallet integrations.</w:t>
            </w:r>
          </w:p>
        </w:tc>
      </w:tr>
      <w:tr>
        <w:tc>
          <w:tcPr>
            <w:tcW w:type="dxa" w:w="3096"/>
            <w:vAlign w:val="top"/>
          </w:tcPr>
          <w:p>
            <w:pPr>
              <w:spacing w:after="0"/>
            </w:pPr>
            <w:r/>
            <w:r>
              <w:rPr>
                <w:b w:val="0"/>
                <w:sz w:val="16"/>
              </w:rPr>
              <w:t>BTCPay Server</w:t>
            </w:r>
          </w:p>
        </w:tc>
        <w:tc>
          <w:tcPr>
            <w:tcW w:type="dxa" w:w="7560"/>
            <w:vAlign w:val="top"/>
          </w:tcPr>
          <w:p>
            <w:pPr>
              <w:spacing w:after="0"/>
            </w:pPr>
            <w:r/>
            <w:r>
              <w:rPr>
                <w:b w:val="0"/>
                <w:sz w:val="16"/>
              </w:rPr>
              <w:t>Proposed invoice generator and state tracker for registration fees and organizer reconciliation.</w:t>
            </w:r>
          </w:p>
        </w:tc>
      </w:tr>
      <w:tr>
        <w:tc>
          <w:tcPr>
            <w:tcW w:type="dxa" w:w="3096"/>
            <w:vAlign w:val="top"/>
          </w:tcPr>
          <w:p>
            <w:pPr>
              <w:spacing w:after="0"/>
            </w:pPr>
            <w:r/>
            <w:r>
              <w:rPr>
                <w:b w:val="0"/>
                <w:sz w:val="16"/>
              </w:rPr>
              <w:t>Lightning wallets</w:t>
            </w:r>
          </w:p>
        </w:tc>
        <w:tc>
          <w:tcPr>
            <w:tcW w:type="dxa" w:w="7560"/>
            <w:vAlign w:val="top"/>
          </w:tcPr>
          <w:p>
            <w:pPr>
              <w:spacing w:after="0"/>
            </w:pPr>
            <w:r/>
            <w:r>
              <w:rPr>
                <w:b w:val="0"/>
                <w:sz w:val="16"/>
              </w:rPr>
              <w:t>Users bring their own wallet. Target reference wallets can include Alby, Breez, Mutiny, and others after review.</w:t>
            </w:r>
          </w:p>
        </w:tc>
      </w:tr>
      <w:tr>
        <w:tc>
          <w:tcPr>
            <w:tcW w:type="dxa" w:w="3096"/>
            <w:vAlign w:val="top"/>
          </w:tcPr>
          <w:p>
            <w:pPr>
              <w:spacing w:after="0"/>
            </w:pPr>
            <w:r/>
            <w:r>
              <w:rPr>
                <w:b w:val="0"/>
                <w:sz w:val="16"/>
              </w:rPr>
              <w:t>Payment adapter</w:t>
            </w:r>
          </w:p>
        </w:tc>
        <w:tc>
          <w:tcPr>
            <w:tcW w:type="dxa" w:w="7560"/>
            <w:vAlign w:val="top"/>
          </w:tcPr>
          <w:p>
            <w:pPr>
              <w:spacing w:after="0"/>
            </w:pPr>
            <w:r/>
            <w:r>
              <w:rPr>
                <w:b w:val="0"/>
                <w:sz w:val="16"/>
              </w:rPr>
              <w:t>Abstracts NWC/BTCPay/WebLN so product flows are not locked to one provider.</w:t>
            </w:r>
          </w:p>
        </w:tc>
      </w:tr>
      <w:tr>
        <w:tc>
          <w:tcPr>
            <w:tcW w:type="dxa" w:w="3096"/>
            <w:vAlign w:val="top"/>
          </w:tcPr>
          <w:p>
            <w:pPr>
              <w:spacing w:after="0"/>
            </w:pPr>
            <w:r/>
            <w:r>
              <w:rPr>
                <w:b w:val="0"/>
                <w:sz w:val="16"/>
              </w:rPr>
              <w:t>Rewards and zaps</w:t>
            </w:r>
          </w:p>
        </w:tc>
        <w:tc>
          <w:tcPr>
            <w:tcW w:type="dxa" w:w="7560"/>
            <w:vAlign w:val="top"/>
          </w:tcPr>
          <w:p>
            <w:pPr>
              <w:spacing w:after="0"/>
            </w:pPr>
            <w:r/>
            <w:r>
              <w:rPr>
                <w:b w:val="0"/>
                <w:sz w:val="16"/>
              </w:rPr>
              <w:t>Social/value layer for public score posts and achievements. Monetary rewards require rules, caps, funding source, and legal/tax review.</w:t>
            </w:r>
          </w:p>
        </w:tc>
      </w:tr>
    </w:tbl>
    <w:p/>
    <w:p>
      <w:pPr>
        <w:pStyle w:val="Heading2"/>
        <w:keepNext/>
      </w:pPr>
      <w:r>
        <w:t>Non-custodial rules</w:t>
      </w:r>
    </w:p>
    <w:p>
      <w:pPr>
        <w:pStyle w:val="ListBullet"/>
        <w:spacing w:after="40"/>
      </w:pPr>
      <w:r>
        <w:t>The app must never request seed phrases or raw private keys.</w:t>
      </w:r>
    </w:p>
    <w:p>
      <w:pPr>
        <w:pStyle w:val="ListBullet"/>
        <w:spacing w:after="40"/>
      </w:pPr>
      <w:r>
        <w:t>The app must not custody user funds or operate as an exchange/wallet balance system.</w:t>
      </w:r>
    </w:p>
    <w:p>
      <w:pPr>
        <w:pStyle w:val="ListBullet"/>
        <w:spacing w:after="40"/>
      </w:pPr>
      <w:r>
        <w:t>NWC connection strings and wallet permissions are sensitive and must be stored carefully, revocable, and scoped.</w:t>
      </w:r>
    </w:p>
    <w:p>
      <w:pPr>
        <w:pStyle w:val="ListBullet"/>
        <w:spacing w:after="40"/>
      </w:pPr>
      <w:r>
        <w:t>Users need clear connect, disconnect, revoke, rotate, test-payment, and permission-expiry flows.</w:t>
      </w:r>
    </w:p>
    <w:p>
      <w:pPr>
        <w:pStyle w:val="ListBullet"/>
        <w:spacing w:after="40"/>
      </w:pPr>
      <w:r>
        <w:t>Payment status must distinguish created invoice, pending, paid/settled, expired, failed, refunded, and manually reviewed.</w:t>
      </w:r>
    </w:p>
    <w:p>
      <w:pPr>
        <w:pStyle w:val="ListBullet"/>
        <w:spacing w:after="40"/>
      </w:pPr>
      <w:r>
        <w:t>Public Nostr posts should not reveal wallet balances, private payment metadata, or reward status unless the user explicitly chooses to publish relevant data.</w:t>
      </w:r>
    </w:p>
    <w:p>
      <w:pPr>
        <w:pStyle w:val="Heading2"/>
        <w:keepNext/>
      </w:pPr>
      <w:r>
        <w:t>Wallet user stories retained for MVP/MVP+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232"/>
            <w:shd w:fill="4B1D83"/>
            <w:vAlign w:val="center"/>
          </w:tcPr>
          <w:p>
            <w:pPr>
              <w:spacing w:after="0"/>
            </w:pPr>
            <w:r/>
            <w:r>
              <w:rPr>
                <w:b/>
                <w:color w:val="FFFFFF"/>
                <w:sz w:val="16"/>
              </w:rPr>
              <w:t>Story</w:t>
            </w:r>
          </w:p>
        </w:tc>
        <w:tc>
          <w:tcPr>
            <w:tcW w:type="dxa" w:w="8424"/>
            <w:shd w:fill="4B1D83"/>
            <w:vAlign w:val="center"/>
          </w:tcPr>
          <w:p>
            <w:pPr>
              <w:spacing w:after="0"/>
            </w:pPr>
            <w:r/>
            <w:r>
              <w:rPr>
                <w:b/>
                <w:color w:val="FFFFFF"/>
                <w:sz w:val="16"/>
              </w:rPr>
              <w:t>User story</w:t>
            </w:r>
          </w:p>
        </w:tc>
      </w:tr>
      <w:tr>
        <w:tc>
          <w:tcPr>
            <w:tcW w:type="dxa" w:w="2232"/>
            <w:vAlign w:val="top"/>
          </w:tcPr>
          <w:p>
            <w:pPr>
              <w:spacing w:after="0"/>
            </w:pPr>
            <w:r/>
            <w:r>
              <w:rPr>
                <w:b w:val="0"/>
                <w:sz w:val="16"/>
              </w:rPr>
              <w:t>Wallet connection</w:t>
            </w:r>
          </w:p>
        </w:tc>
        <w:tc>
          <w:tcPr>
            <w:tcW w:type="dxa" w:w="8424"/>
            <w:vAlign w:val="top"/>
          </w:tcPr>
          <w:p>
            <w:pPr>
              <w:spacing w:after="0"/>
            </w:pPr>
            <w:r/>
            <w:r>
              <w:rPr>
                <w:b w:val="0"/>
                <w:sz w:val="16"/>
              </w:rPr>
              <w:t>As a user, I want to connect a Lightning wallet through NWC so that I can pay fees, zap posts, and receive rewards without handing custody to the app.</w:t>
            </w:r>
          </w:p>
        </w:tc>
      </w:tr>
      <w:tr>
        <w:tc>
          <w:tcPr>
            <w:tcW w:type="dxa" w:w="2232"/>
            <w:vAlign w:val="top"/>
          </w:tcPr>
          <w:p>
            <w:pPr>
              <w:spacing w:after="0"/>
            </w:pPr>
            <w:r/>
            <w:r>
              <w:rPr>
                <w:b w:val="0"/>
                <w:sz w:val="16"/>
              </w:rPr>
              <w:t>Fee payment</w:t>
            </w:r>
          </w:p>
        </w:tc>
        <w:tc>
          <w:tcPr>
            <w:tcW w:type="dxa" w:w="8424"/>
            <w:vAlign w:val="top"/>
          </w:tcPr>
          <w:p>
            <w:pPr>
              <w:spacing w:after="0"/>
            </w:pPr>
            <w:r/>
            <w:r>
              <w:rPr>
                <w:b w:val="0"/>
                <w:sz w:val="16"/>
              </w:rPr>
              <w:t>As a player, I want to pay the tournament fee from my connected wallet or fallback invoice so that my registration can be confirmed.</w:t>
            </w:r>
          </w:p>
        </w:tc>
      </w:tr>
      <w:tr>
        <w:tc>
          <w:tcPr>
            <w:tcW w:type="dxa" w:w="2232"/>
            <w:vAlign w:val="top"/>
          </w:tcPr>
          <w:p>
            <w:pPr>
              <w:spacing w:after="0"/>
            </w:pPr>
            <w:r/>
            <w:r>
              <w:rPr>
                <w:b w:val="0"/>
                <w:sz w:val="16"/>
              </w:rPr>
              <w:t>Zap score post</w:t>
            </w:r>
          </w:p>
        </w:tc>
        <w:tc>
          <w:tcPr>
            <w:tcW w:type="dxa" w:w="8424"/>
            <w:vAlign w:val="top"/>
          </w:tcPr>
          <w:p>
            <w:pPr>
              <w:spacing w:after="0"/>
            </w:pPr>
            <w:r/>
            <w:r>
              <w:rPr>
                <w:b w:val="0"/>
                <w:sz w:val="16"/>
              </w:rPr>
              <w:t>As a fan or teammate, I want to zap a public/attested score post so that I can recognize a player socially with sats.</w:t>
            </w:r>
          </w:p>
        </w:tc>
      </w:tr>
      <w:tr>
        <w:tc>
          <w:tcPr>
            <w:tcW w:type="dxa" w:w="2232"/>
            <w:vAlign w:val="top"/>
          </w:tcPr>
          <w:p>
            <w:pPr>
              <w:spacing w:after="0"/>
            </w:pPr>
            <w:r/>
            <w:r>
              <w:rPr>
                <w:b w:val="0"/>
                <w:sz w:val="16"/>
              </w:rPr>
              <w:t>Reward claim</w:t>
            </w:r>
          </w:p>
        </w:tc>
        <w:tc>
          <w:tcPr>
            <w:tcW w:type="dxa" w:w="8424"/>
            <w:vAlign w:val="top"/>
          </w:tcPr>
          <w:p>
            <w:pPr>
              <w:spacing w:after="0"/>
            </w:pPr>
            <w:r/>
            <w:r>
              <w:rPr>
                <w:b w:val="0"/>
                <w:sz w:val="16"/>
              </w:rPr>
              <w:t>As a player, I want to claim approved rewards to my wallet where allowed so that pre-event achievements can carry Bitcoin value.</w:t>
            </w:r>
          </w:p>
        </w:tc>
      </w:tr>
      <w:tr>
        <w:tc>
          <w:tcPr>
            <w:tcW w:type="dxa" w:w="2232"/>
            <w:vAlign w:val="top"/>
          </w:tcPr>
          <w:p>
            <w:pPr>
              <w:spacing w:after="0"/>
            </w:pPr>
            <w:r/>
            <w:r>
              <w:rPr>
                <w:b w:val="0"/>
                <w:sz w:val="16"/>
              </w:rPr>
              <w:t>Permission control</w:t>
            </w:r>
          </w:p>
        </w:tc>
        <w:tc>
          <w:tcPr>
            <w:tcW w:type="dxa" w:w="8424"/>
            <w:vAlign w:val="top"/>
          </w:tcPr>
          <w:p>
            <w:pPr>
              <w:spacing w:after="0"/>
            </w:pPr>
            <w:r/>
            <w:r>
              <w:rPr>
                <w:b w:val="0"/>
                <w:sz w:val="16"/>
              </w:rPr>
              <w:t>As a user, I want to revoke or rotate wallet permissions so that I remain in control after the event or after changing wallets.</w:t>
            </w:r>
          </w:p>
        </w:tc>
      </w:tr>
    </w:tbl>
    <w:p/>
    <w:p>
      <w:pPr>
        <w:pStyle w:val="Heading1"/>
        <w:keepNext/>
      </w:pPr>
      <w:r>
        <w:t>14. Security, privacy, accessibility, and non-functional requirements</w:t>
      </w:r>
    </w:p>
    <w:p>
      <w:pPr>
        <w:pStyle w:val="Heading2"/>
        <w:keepNext/>
      </w:pPr>
      <w:r>
        <w:t>Non-functional requirements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736"/>
            <w:shd w:fill="4B1D83"/>
            <w:vAlign w:val="center"/>
          </w:tcPr>
          <w:p>
            <w:pPr>
              <w:spacing w:after="0"/>
            </w:pPr>
            <w:r>
              <w:rPr>
                <w:b/>
                <w:color w:val="FFFFFF"/>
                <w:sz w:val="16"/>
              </w:rPr>
            </w:r>
            <w:r>
              <w:rPr>
                <w:b/>
                <w:color w:val="FFFFFF"/>
                <w:sz w:val="16"/>
              </w:rPr>
              <w:t>Requirement</w:t>
            </w:r>
          </w:p>
        </w:tc>
        <w:tc>
          <w:tcPr>
            <w:tcW w:type="dxa" w:w="7920"/>
            <w:shd w:fill="4B1D83"/>
            <w:vAlign w:val="center"/>
          </w:tcPr>
          <w:p>
            <w:pPr>
              <w:spacing w:after="0"/>
            </w:pPr>
            <w:r>
              <w:rPr>
                <w:b/>
                <w:color w:val="FFFFFF"/>
                <w:sz w:val="16"/>
              </w:rPr>
            </w:r>
            <w:r>
              <w:rPr>
                <w:b/>
                <w:color w:val="FFFFFF"/>
                <w:sz w:val="16"/>
              </w:rPr>
              <w:t>Acceptance direction</w:t>
            </w:r>
          </w:p>
        </w:tc>
      </w:tr>
      <w:tr>
        <w:tc>
          <w:tcPr>
            <w:tcW w:type="dxa" w:w="2736"/>
            <w:vAlign w:val="top"/>
            <w:shd w:fill="FFFFFF"/>
          </w:tcPr>
          <w:p>
            <w:pPr>
              <w:spacing w:after="0"/>
            </w:pPr>
            <w:r>
              <w:rPr>
                <w:sz w:val="16"/>
              </w:rPr>
            </w:r>
            <w:r>
              <w:rPr>
                <w:b w:val="0"/>
                <w:sz w:val="16"/>
              </w:rPr>
              <w:t>Open-source compliance</w:t>
            </w:r>
          </w:p>
        </w:tc>
        <w:tc>
          <w:tcPr>
            <w:tcW w:type="dxa" w:w="7920"/>
            <w:vAlign w:val="top"/>
            <w:shd w:fill="FFFFFF"/>
          </w:tcPr>
          <w:p>
            <w:pPr>
              <w:spacing w:after="0"/>
            </w:pPr>
            <w:r>
              <w:rPr>
                <w:sz w:val="16"/>
              </w:rPr>
            </w:r>
            <w:r>
              <w:rPr>
                <w:b w:val="0"/>
                <w:sz w:val="16"/>
              </w:rPr>
              <w:t>Core code and dependencies must pass license review. Data sources need documented license/terms and redistribution stance.</w:t>
            </w:r>
          </w:p>
        </w:tc>
      </w:tr>
      <w:tr>
        <w:tc>
          <w:tcPr>
            <w:tcW w:type="dxa" w:w="2736"/>
            <w:vAlign w:val="top"/>
            <w:shd w:fill="FFFFFF"/>
          </w:tcPr>
          <w:p>
            <w:pPr>
              <w:spacing w:after="0"/>
            </w:pPr>
            <w:r>
              <w:rPr>
                <w:sz w:val="16"/>
              </w:rPr>
            </w:r>
            <w:r>
              <w:rPr>
                <w:b w:val="0"/>
                <w:sz w:val="16"/>
              </w:rPr>
              <w:t>PWA client support</w:t>
            </w:r>
          </w:p>
        </w:tc>
        <w:tc>
          <w:tcPr>
            <w:tcW w:type="dxa" w:w="7920"/>
            <w:vAlign w:val="top"/>
            <w:shd w:fill="FFFFFF"/>
          </w:tcPr>
          <w:p>
            <w:pPr>
              <w:spacing w:after="0"/>
            </w:pPr>
            <w:r>
              <w:rPr>
                <w:sz w:val="16"/>
              </w:rPr>
            </w:r>
            <w:r>
              <w:rPr>
                <w:b w:val="0"/>
                <w:sz w:val="16"/>
              </w:rPr>
              <w:t>Modern mobile and desktop browsers; installable where browser support allows.</w:t>
            </w:r>
          </w:p>
        </w:tc>
      </w:tr>
      <w:tr>
        <w:tc>
          <w:tcPr>
            <w:tcW w:type="dxa" w:w="2736"/>
            <w:vAlign w:val="top"/>
            <w:shd w:fill="FFFFFF"/>
          </w:tcPr>
          <w:p>
            <w:pPr>
              <w:spacing w:after="0"/>
            </w:pPr>
            <w:r>
              <w:rPr>
                <w:sz w:val="16"/>
              </w:rPr>
            </w:r>
            <w:r>
              <w:rPr>
                <w:b w:val="0"/>
                <w:sz w:val="16"/>
              </w:rPr>
              <w:t>Offline tolerance</w:t>
            </w:r>
          </w:p>
        </w:tc>
        <w:tc>
          <w:tcPr>
            <w:tcW w:type="dxa" w:w="7920"/>
            <w:vAlign w:val="top"/>
            <w:shd w:fill="FFFFFF"/>
          </w:tcPr>
          <w:p>
            <w:pPr>
              <w:spacing w:after="0"/>
            </w:pPr>
            <w:r>
              <w:rPr>
                <w:sz w:val="16"/>
              </w:rPr>
            </w:r>
            <w:r>
              <w:rPr>
                <w:b w:val="0"/>
                <w:sz w:val="16"/>
              </w:rPr>
              <w:t>Scorekeepers can keep entering scores under weak connectivity and sync later with visible status and retry.</w:t>
            </w:r>
          </w:p>
        </w:tc>
      </w:tr>
      <w:tr>
        <w:tc>
          <w:tcPr>
            <w:tcW w:type="dxa" w:w="2736"/>
            <w:vAlign w:val="top"/>
            <w:shd w:fill="FFFFFF"/>
          </w:tcPr>
          <w:p>
            <w:pPr>
              <w:spacing w:after="0"/>
            </w:pPr>
            <w:r>
              <w:rPr>
                <w:sz w:val="16"/>
              </w:rPr>
            </w:r>
            <w:r>
              <w:rPr>
                <w:b w:val="0"/>
                <w:sz w:val="16"/>
              </w:rPr>
              <w:t>Accessibility</w:t>
            </w:r>
          </w:p>
        </w:tc>
        <w:tc>
          <w:tcPr>
            <w:tcW w:type="dxa" w:w="7920"/>
            <w:vAlign w:val="top"/>
            <w:shd w:fill="FFFFFF"/>
          </w:tcPr>
          <w:p>
            <w:pPr>
              <w:spacing w:after="0"/>
            </w:pPr>
            <w:r>
              <w:rPr>
                <w:sz w:val="16"/>
              </w:rPr>
            </w:r>
            <w:r>
              <w:rPr>
                <w:b w:val="0"/>
                <w:sz w:val="16"/>
              </w:rPr>
              <w:t>Target WCAG 2.2 AA practices: keyboard, labels, contrast, focus, resizing, reduced motion, clear errors.</w:t>
            </w:r>
          </w:p>
        </w:tc>
      </w:tr>
      <w:tr>
        <w:tc>
          <w:tcPr>
            <w:tcW w:type="dxa" w:w="2736"/>
            <w:vAlign w:val="top"/>
            <w:shd w:fill="FFFFFF"/>
          </w:tcPr>
          <w:p>
            <w:pPr>
              <w:spacing w:after="0"/>
            </w:pPr>
            <w:r>
              <w:rPr>
                <w:sz w:val="16"/>
              </w:rPr>
            </w:r>
            <w:r>
              <w:rPr>
                <w:b w:val="0"/>
                <w:sz w:val="16"/>
              </w:rPr>
              <w:t>Security</w:t>
            </w:r>
          </w:p>
        </w:tc>
        <w:tc>
          <w:tcPr>
            <w:tcW w:type="dxa" w:w="7920"/>
            <w:vAlign w:val="top"/>
            <w:shd w:fill="FFFFFF"/>
          </w:tcPr>
          <w:p>
            <w:pPr/>
            <w:r>
              <w:rPr>
                <w:sz w:val="16"/>
              </w:rPr>
              <w:t>No private Nostr keys in app storage. Admin, wallet, payment, auth challenge, and signing flows require review and audit logs.</w:t>
            </w:r>
          </w:p>
        </w:tc>
      </w:tr>
      <w:tr>
        <w:tc>
          <w:tcPr>
            <w:tcW w:type="dxa" w:w="2736"/>
            <w:vAlign w:val="top"/>
            <w:shd w:fill="FFFFFF"/>
          </w:tcPr>
          <w:p>
            <w:pPr>
              <w:spacing w:after="0"/>
            </w:pPr>
            <w:r>
              <w:rPr>
                <w:sz w:val="16"/>
              </w:rPr>
            </w:r>
            <w:r>
              <w:rPr>
                <w:b w:val="0"/>
                <w:sz w:val="16"/>
              </w:rPr>
              <w:t>Payment integrity</w:t>
            </w:r>
          </w:p>
        </w:tc>
        <w:tc>
          <w:tcPr>
            <w:tcW w:type="dxa" w:w="7920"/>
            <w:vAlign w:val="top"/>
            <w:shd w:fill="FFFFFF"/>
          </w:tcPr>
          <w:p>
            <w:pPr>
              <w:spacing w:after="0"/>
            </w:pPr>
            <w:r>
              <w:rPr>
                <w:sz w:val="16"/>
              </w:rPr>
            </w:r>
            <w:r>
              <w:rPr>
                <w:b w:val="0"/>
                <w:sz w:val="16"/>
              </w:rPr>
              <w:t>Payment state machine and idempotent webhook handling. Manual reconciliation view for ambiguous cases.</w:t>
            </w:r>
          </w:p>
        </w:tc>
      </w:tr>
      <w:tr>
        <w:tc>
          <w:tcPr>
            <w:tcW w:type="dxa" w:w="2736"/>
            <w:vAlign w:val="top"/>
            <w:shd w:fill="FFFFFF"/>
          </w:tcPr>
          <w:p>
            <w:pPr>
              <w:spacing w:after="0"/>
            </w:pPr>
            <w:r>
              <w:rPr>
                <w:sz w:val="16"/>
              </w:rPr>
            </w:r>
            <w:r>
              <w:rPr>
                <w:b w:val="0"/>
                <w:sz w:val="16"/>
              </w:rPr>
              <w:t>Data minimization</w:t>
            </w:r>
          </w:p>
        </w:tc>
        <w:tc>
          <w:tcPr>
            <w:tcW w:type="dxa" w:w="7920"/>
            <w:vAlign w:val="top"/>
            <w:shd w:fill="FFFFFF"/>
          </w:tcPr>
          <w:p>
            <w:pPr>
              <w:spacing w:after="0"/>
            </w:pPr>
            <w:r>
              <w:rPr>
                <w:sz w:val="16"/>
              </w:rPr>
            </w:r>
            <w:r>
              <w:rPr>
                <w:b w:val="0"/>
                <w:sz w:val="16"/>
              </w:rPr>
              <w:t>Collect only what is needed for event operations and legal/operational needs.</w:t>
            </w:r>
          </w:p>
        </w:tc>
      </w:tr>
      <w:tr>
        <w:tc>
          <w:tcPr>
            <w:tcW w:type="dxa" w:w="2736"/>
            <w:vAlign w:val="top"/>
            <w:shd w:fill="FFFFFF"/>
          </w:tcPr>
          <w:p>
            <w:pPr>
              <w:spacing w:after="0"/>
            </w:pPr>
            <w:r>
              <w:rPr>
                <w:sz w:val="16"/>
              </w:rPr>
            </w:r>
            <w:r>
              <w:rPr>
                <w:b w:val="0"/>
                <w:sz w:val="16"/>
              </w:rPr>
              <w:t>Auditability</w:t>
            </w:r>
          </w:p>
        </w:tc>
        <w:tc>
          <w:tcPr>
            <w:tcW w:type="dxa" w:w="7920"/>
            <w:vAlign w:val="top"/>
            <w:shd w:fill="FFFFFF"/>
          </w:tcPr>
          <w:p>
            <w:pPr>
              <w:spacing w:after="0"/>
            </w:pPr>
            <w:r>
              <w:rPr>
                <w:sz w:val="16"/>
              </w:rPr>
            </w:r>
            <w:r>
              <w:rPr>
                <w:b w:val="0"/>
                <w:sz w:val="16"/>
              </w:rPr>
              <w:t>Role changes, score changes, attestations, disputes, payment state changes, and admin overrides are logged.</w:t>
            </w:r>
          </w:p>
        </w:tc>
      </w:tr>
      <w:tr>
        <w:tc>
          <w:tcPr>
            <w:tcW w:type="dxa" w:w="2736"/>
            <w:vAlign w:val="top"/>
            <w:shd w:fill="FFFFFF"/>
          </w:tcPr>
          <w:p>
            <w:pPr>
              <w:spacing w:after="0"/>
            </w:pPr>
            <w:r>
              <w:rPr>
                <w:sz w:val="16"/>
              </w:rPr>
            </w:r>
            <w:r>
              <w:rPr>
                <w:b w:val="0"/>
                <w:sz w:val="16"/>
              </w:rPr>
              <w:t>Performance</w:t>
            </w:r>
          </w:p>
        </w:tc>
        <w:tc>
          <w:tcPr>
            <w:tcW w:type="dxa" w:w="7920"/>
            <w:vAlign w:val="top"/>
            <w:shd w:fill="FFFFFF"/>
          </w:tcPr>
          <w:p>
            <w:pPr>
              <w:spacing w:after="0"/>
            </w:pPr>
            <w:r>
              <w:rPr>
                <w:sz w:val="16"/>
              </w:rPr>
            </w:r>
            <w:r>
              <w:rPr>
                <w:b w:val="0"/>
                <w:sz w:val="16"/>
              </w:rPr>
              <w:t>Score entry should feel instant. Public scoreboard should update with low latency under normal event load.</w:t>
            </w:r>
          </w:p>
        </w:tc>
      </w:tr>
      <w:tr>
        <w:tc>
          <w:tcPr>
            <w:tcW w:type="dxa" w:w="2736"/>
            <w:vAlign w:val="top"/>
            <w:shd w:fill="FFFFFF"/>
          </w:tcPr>
          <w:p>
            <w:pPr>
              <w:spacing w:after="0"/>
            </w:pPr>
            <w:r>
              <w:rPr>
                <w:sz w:val="16"/>
              </w:rPr>
            </w:r>
            <w:r>
              <w:rPr>
                <w:b w:val="0"/>
                <w:sz w:val="16"/>
              </w:rPr>
              <w:t>Portability</w:t>
            </w:r>
          </w:p>
        </w:tc>
        <w:tc>
          <w:tcPr>
            <w:tcW w:type="dxa" w:w="7920"/>
            <w:vAlign w:val="top"/>
            <w:shd w:fill="FFFFFF"/>
          </w:tcPr>
          <w:p>
            <w:pPr>
              <w:spacing w:after="0"/>
            </w:pPr>
            <w:r>
              <w:rPr>
                <w:sz w:val="16"/>
              </w:rPr>
            </w:r>
            <w:r>
              <w:rPr>
                <w:b w:val="0"/>
                <w:sz w:val="16"/>
              </w:rPr>
              <w:t>Self-hosting path, exportable data, and replaceable adapters for hosted services.</w:t>
            </w:r>
          </w:p>
        </w:tc>
      </w:tr>
      <w:tr>
        <w:tc>
          <w:tcPr>
            <w:tcW w:type="dxa" w:w="2736"/>
            <w:vAlign w:val="top"/>
            <w:shd w:fill="FFFFFF"/>
          </w:tcPr>
          <w:p>
            <w:pPr>
              <w:spacing w:after="0"/>
            </w:pPr>
            <w:r>
              <w:rPr>
                <w:sz w:val="16"/>
              </w:rPr>
            </w:r>
            <w:r>
              <w:rPr>
                <w:b w:val="0"/>
                <w:sz w:val="16"/>
              </w:rPr>
              <w:t>Course data integrity</w:t>
            </w:r>
          </w:p>
        </w:tc>
        <w:tc>
          <w:tcPr>
            <w:tcW w:type="dxa" w:w="7920"/>
            <w:vAlign w:val="top"/>
            <w:shd w:fill="FFFFFF"/>
          </w:tcPr>
          <w:p>
            <w:pPr>
              <w:spacing w:after="0"/>
            </w:pPr>
            <w:r>
              <w:rPr>
                <w:sz w:val="16"/>
              </w:rPr>
            </w:r>
            <w:r>
              <w:rPr>
                <w:b w:val="0"/>
                <w:sz w:val="16"/>
              </w:rPr>
              <w:t>Imported facts, proposals, ratings, attestations, and organizer-approved scoring data remain distinct.</w:t>
            </w:r>
          </w:p>
        </w:tc>
      </w:tr>
      <w:tr>
        <w:tc>
          <w:tcPr>
            <w:tcW w:type="dxa" w:w="5184"/>
            <w:shd w:fill="FFFFFF"/>
          </w:tcPr>
          <w:p>
            <w:pPr/>
            <w:r>
              <w:rPr>
                <w:sz w:val="16"/>
              </w:rPr>
              <w:t>Signing UX and key safety</w:t>
            </w:r>
          </w:p>
        </w:tc>
        <w:tc>
          <w:tcPr>
            <w:tcW w:type="dxa" w:w="5184"/>
            <w:shd w:fill="FFFFFF"/>
          </w:tcPr>
          <w:p>
            <w:pPr/>
            <w:r>
              <w:rPr>
                <w:sz w:val="16"/>
              </w:rPr>
              <w:t>Guest-first onboarding, signer-gated participation, no raw nsec/private-key prompts in primary UX, signed auth challenges, capability detection for NIP-07/NIP-44, and explicit fallback copy for iOS Safari versus standalone PWA behavior.</w:t>
            </w:r>
          </w:p>
        </w:tc>
      </w:tr>
    </w:tbl>
    <w:p/>
    <w:p>
      <w:pPr>
        <w:pStyle w:val="Heading2"/>
        <w:keepNext/>
      </w:pPr>
      <w:r>
        <w:t>CI and review enforcement status</w:t>
      </w:r>
    </w:p>
    <w:p>
      <w:pPr>
        <w:pStyle w:val="ListBullet"/>
        <w:spacing w:after="40"/>
      </w:pPr>
      <w:r>
        <w:t>A placeholder CI workflow exists and should run on pull requests.</w:t>
      </w:r>
    </w:p>
    <w:p>
      <w:pPr>
        <w:pStyle w:val="ListBullet"/>
        <w:spacing w:after="40"/>
      </w:pPr>
      <w:r>
        <w:t>CI currently includes placeholders for formatter, linter, unit tests, dependency inventory, and metadata checks.</w:t>
      </w:r>
    </w:p>
    <w:p>
      <w:pPr>
        <w:pStyle w:val="ListBullet"/>
        <w:spacing w:after="40"/>
      </w:pPr>
      <w:r>
        <w:t>PR metadata checks should fail when license-review and security-review metadata are missing where feasible.</w:t>
      </w:r>
    </w:p>
    <w:p>
      <w:pPr>
        <w:pStyle w:val="ListBullet"/>
        <w:spacing w:after="40"/>
      </w:pPr>
      <w:r>
        <w:t>Once the codebase is initialized, placeholder scripts must be replaced by real commands for the chosen stack.</w:t>
      </w:r>
    </w:p>
    <w:p>
      <w:pPr>
        <w:pStyle w:val="Heading1"/>
        <w:keepNext/>
      </w:pPr>
      <w:r>
        <w:t>15. Product roadmap and sprint plan</w:t>
      </w:r>
    </w:p>
    <w:p>
      <w:pPr>
        <w:pStyle w:val="Heading2"/>
        <w:keepNext/>
      </w:pPr>
      <w:r>
        <w:t>Roadmap phases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736"/>
            <w:shd w:fill="4B1D83"/>
            <w:vAlign w:val="center"/>
          </w:tcPr>
          <w:p>
            <w:pPr>
              <w:spacing w:after="0"/>
            </w:pPr>
            <w:r>
              <w:rPr>
                <w:b/>
                <w:color w:val="FFFFFF"/>
                <w:sz w:val="16"/>
              </w:rPr>
            </w:r>
            <w:r>
              <w:rPr>
                <w:b/>
                <w:color w:val="FFFFFF"/>
                <w:sz w:val="16"/>
              </w:rPr>
              <w:t>Phase</w:t>
            </w:r>
          </w:p>
        </w:tc>
        <w:tc>
          <w:tcPr>
            <w:tcW w:type="dxa" w:w="7920"/>
            <w:shd w:fill="4B1D83"/>
            <w:vAlign w:val="center"/>
          </w:tcPr>
          <w:p>
            <w:pPr>
              <w:spacing w:after="0"/>
            </w:pPr>
            <w:r>
              <w:rPr>
                <w:b/>
                <w:color w:val="FFFFFF"/>
                <w:sz w:val="16"/>
              </w:rPr>
            </w:r>
            <w:r>
              <w:rPr>
                <w:b/>
                <w:color w:val="FFFFFF"/>
                <w:sz w:val="16"/>
              </w:rPr>
              <w:t>Scope</w:t>
            </w:r>
          </w:p>
        </w:tc>
      </w:tr>
      <w:tr>
        <w:tc>
          <w:tcPr>
            <w:tcW w:type="dxa" w:w="2736"/>
            <w:vAlign w:val="top"/>
            <w:shd w:fill="FFFFFF"/>
          </w:tcPr>
          <w:p>
            <w:pPr>
              <w:spacing w:after="0"/>
            </w:pPr>
            <w:r>
              <w:rPr>
                <w:sz w:val="16"/>
              </w:rPr>
            </w:r>
            <w:r>
              <w:rPr>
                <w:b w:val="0"/>
                <w:sz w:val="16"/>
              </w:rPr>
              <w:t>Phase 0: Foundation</w:t>
            </w:r>
          </w:p>
        </w:tc>
        <w:tc>
          <w:tcPr>
            <w:tcW w:type="dxa" w:w="7920"/>
            <w:vAlign w:val="top"/>
            <w:shd w:fill="FFFFFF"/>
          </w:tcPr>
          <w:p>
            <w:pPr>
              <w:spacing w:after="0"/>
            </w:pPr>
            <w:r>
              <w:rPr>
                <w:sz w:val="16"/>
              </w:rPr>
            </w:r>
            <w:r>
              <w:rPr>
                <w:b w:val="0"/>
                <w:sz w:val="16"/>
              </w:rPr>
              <w:t>Repo governance, ADRs, issue templates, PR template, course-data registry, CI skeleton, WSL scripts, stakeholder deck. Largely generated; repo commit/import status should be verified.</w:t>
            </w:r>
          </w:p>
        </w:tc>
      </w:tr>
      <w:tr>
        <w:tc>
          <w:tcPr>
            <w:tcW w:type="dxa" w:w="2736"/>
            <w:vAlign w:val="top"/>
            <w:shd w:fill="FFFFFF"/>
          </w:tcPr>
          <w:p>
            <w:pPr>
              <w:spacing w:after="0"/>
            </w:pPr>
            <w:r>
              <w:rPr>
                <w:sz w:val="16"/>
              </w:rPr>
            </w:r>
            <w:r>
              <w:rPr>
                <w:b w:val="0"/>
                <w:sz w:val="16"/>
              </w:rPr>
              <w:t>Phase 1: MVP tournament loop</w:t>
            </w:r>
          </w:p>
        </w:tc>
        <w:tc>
          <w:tcPr>
            <w:tcW w:type="dxa" w:w="7920"/>
            <w:vAlign w:val="top"/>
            <w:shd w:fill="FFFFFF"/>
          </w:tcPr>
          <w:p>
            <w:pPr/>
            <w:r>
              <w:rPr>
                <w:sz w:val="16"/>
              </w:rPr>
              <w:t>Nostr identity, Nostash/NIP-07 onboarding, registration, teams, roles, course baseline, scorekeeper flow, payment state, standings.</w:t>
            </w:r>
          </w:p>
        </w:tc>
      </w:tr>
      <w:tr>
        <w:tc>
          <w:tcPr>
            <w:tcW w:type="dxa" w:w="2736"/>
            <w:vAlign w:val="top"/>
            <w:shd w:fill="FFFFFF"/>
          </w:tcPr>
          <w:p>
            <w:pPr>
              <w:spacing w:after="0"/>
            </w:pPr>
            <w:r>
              <w:rPr>
                <w:sz w:val="16"/>
              </w:rPr>
            </w:r>
            <w:r>
              <w:rPr>
                <w:b w:val="0"/>
                <w:sz w:val="16"/>
              </w:rPr>
              <w:t>Phase 2: Live event polish</w:t>
            </w:r>
          </w:p>
        </w:tc>
        <w:tc>
          <w:tcPr>
            <w:tcW w:type="dxa" w:w="7920"/>
            <w:vAlign w:val="top"/>
            <w:shd w:fill="FFFFFF"/>
          </w:tcPr>
          <w:p>
            <w:pPr>
              <w:spacing w:after="0"/>
            </w:pPr>
            <w:r>
              <w:rPr>
                <w:sz w:val="16"/>
              </w:rPr>
            </w:r>
            <w:r>
              <w:rPr>
                <w:b w:val="0"/>
                <w:sz w:val="16"/>
              </w:rPr>
              <w:t>Offline scorekeeping, public scoreboard, maps, announcements, dry run, QA, operational runbook.</w:t>
            </w:r>
          </w:p>
        </w:tc>
      </w:tr>
      <w:tr>
        <w:tc>
          <w:tcPr>
            <w:tcW w:type="dxa" w:w="2736"/>
            <w:vAlign w:val="top"/>
            <w:shd w:fill="FFFFFF"/>
          </w:tcPr>
          <w:p>
            <w:pPr>
              <w:spacing w:after="0"/>
            </w:pPr>
            <w:r>
              <w:rPr>
                <w:sz w:val="16"/>
              </w:rPr>
            </w:r>
            <w:r>
              <w:rPr>
                <w:b w:val="0"/>
                <w:sz w:val="16"/>
              </w:rPr>
              <w:t>Phase 3: Ecosystem integration</w:t>
            </w:r>
          </w:p>
        </w:tc>
        <w:tc>
          <w:tcPr>
            <w:tcW w:type="dxa" w:w="7920"/>
            <w:vAlign w:val="top"/>
            <w:shd w:fill="FFFFFF"/>
          </w:tcPr>
          <w:p>
            <w:pPr>
              <w:spacing w:after="0"/>
            </w:pPr>
            <w:r>
              <w:rPr>
                <w:sz w:val="16"/>
              </w:rPr>
            </w:r>
            <w:r>
              <w:rPr>
                <w:b w:val="0"/>
                <w:sz w:val="16"/>
              </w:rPr>
              <w:t>Nostr publishing, NWC refinements, zaps, badges, sponsor dashboards, community course tools.</w:t>
            </w:r>
          </w:p>
        </w:tc>
      </w:tr>
      <w:tr>
        <w:tc>
          <w:tcPr>
            <w:tcW w:type="dxa" w:w="2736"/>
            <w:vAlign w:val="top"/>
            <w:shd w:fill="FFFFFF"/>
          </w:tcPr>
          <w:p>
            <w:pPr>
              <w:spacing w:after="0"/>
            </w:pPr>
            <w:r>
              <w:rPr>
                <w:sz w:val="16"/>
              </w:rPr>
            </w:r>
            <w:r>
              <w:rPr>
                <w:b w:val="0"/>
                <w:sz w:val="16"/>
              </w:rPr>
              <w:t>Phase 4: Reusable platform</w:t>
            </w:r>
          </w:p>
        </w:tc>
        <w:tc>
          <w:tcPr>
            <w:tcW w:type="dxa" w:w="7920"/>
            <w:vAlign w:val="top"/>
            <w:shd w:fill="FFFFFF"/>
          </w:tcPr>
          <w:p>
            <w:pPr>
              <w:spacing w:after="0"/>
            </w:pPr>
            <w:r>
              <w:rPr>
                <w:sz w:val="16"/>
              </w:rPr>
            </w:r>
            <w:r>
              <w:rPr>
                <w:b w:val="0"/>
                <w:sz w:val="16"/>
              </w:rPr>
              <w:t>Multiple events, configurable formats, plugin surface, data exports, legally reviewed future prediction features.</w:t>
            </w:r>
          </w:p>
        </w:tc>
      </w:tr>
    </w:tbl>
    <w:p/>
    <w:p>
      <w:pPr>
        <w:pStyle w:val="Heading2"/>
        <w:keepNext/>
      </w:pPr>
      <w:r>
        <w:t>Current sprint plan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736"/>
            <w:shd w:fill="4B1D83"/>
            <w:vAlign w:val="center"/>
          </w:tcPr>
          <w:p>
            <w:pPr>
              <w:spacing w:after="0"/>
            </w:pPr>
            <w:r>
              <w:rPr>
                <w:b/>
                <w:color w:val="FFFFFF"/>
                <w:sz w:val="16"/>
              </w:rPr>
            </w:r>
            <w:r>
              <w:rPr>
                <w:b/>
                <w:color w:val="FFFFFF"/>
                <w:sz w:val="16"/>
              </w:rPr>
              <w:t>Sprint</w:t>
            </w:r>
          </w:p>
        </w:tc>
        <w:tc>
          <w:tcPr>
            <w:tcW w:type="dxa" w:w="7920"/>
            <w:shd w:fill="4B1D83"/>
            <w:vAlign w:val="center"/>
          </w:tcPr>
          <w:p>
            <w:pPr>
              <w:spacing w:after="0"/>
            </w:pPr>
            <w:r>
              <w:rPr>
                <w:b/>
                <w:color w:val="FFFFFF"/>
                <w:sz w:val="16"/>
              </w:rPr>
            </w:r>
            <w:r>
              <w:rPr>
                <w:b/>
                <w:color w:val="FFFFFF"/>
                <w:sz w:val="16"/>
              </w:rPr>
              <w:t>Primary outcomes</w:t>
            </w:r>
          </w:p>
        </w:tc>
      </w:tr>
      <w:tr>
        <w:tc>
          <w:tcPr>
            <w:tcW w:type="dxa" w:w="2736"/>
            <w:vAlign w:val="top"/>
            <w:shd w:fill="FFFFFF"/>
          </w:tcPr>
          <w:p>
            <w:pPr>
              <w:spacing w:after="0"/>
            </w:pPr>
            <w:r>
              <w:rPr>
                <w:sz w:val="16"/>
              </w:rPr>
            </w:r>
            <w:r>
              <w:rPr>
                <w:b w:val="0"/>
                <w:sz w:val="16"/>
              </w:rPr>
              <w:t>Sprint 0: Project foundation</w:t>
            </w:r>
          </w:p>
        </w:tc>
        <w:tc>
          <w:tcPr>
            <w:tcW w:type="dxa" w:w="7920"/>
            <w:vAlign w:val="top"/>
            <w:shd w:fill="FFFFFF"/>
          </w:tcPr>
          <w:p>
            <w:pPr>
              <w:spacing w:after="0"/>
            </w:pPr>
            <w:r>
              <w:rPr>
                <w:sz w:val="16"/>
              </w:rPr>
            </w:r>
            <w:r>
              <w:rPr>
                <w:b w:val="0"/>
                <w:sz w:val="16"/>
              </w:rPr>
              <w:t>Review and commit generated governance files, ADRs, issue templates, PR template, CI skeleton, data registry. Confirm GitHub labels/milestones/issues. Replace broken local gh setup if needed.</w:t>
            </w:r>
          </w:p>
        </w:tc>
      </w:tr>
      <w:tr>
        <w:tc>
          <w:tcPr>
            <w:tcW w:type="dxa" w:w="2736"/>
            <w:vAlign w:val="top"/>
            <w:shd w:fill="FFFFFF"/>
          </w:tcPr>
          <w:p>
            <w:pPr>
              <w:spacing w:after="0"/>
            </w:pPr>
            <w:r>
              <w:rPr>
                <w:sz w:val="16"/>
              </w:rPr>
            </w:r>
            <w:r>
              <w:rPr>
                <w:b w:val="0"/>
                <w:sz w:val="16"/>
              </w:rPr>
              <w:t>Sprint 1: Identity and registration slice</w:t>
            </w:r>
          </w:p>
        </w:tc>
        <w:tc>
          <w:tcPr>
            <w:tcW w:type="dxa" w:w="7920"/>
            <w:vAlign w:val="top"/>
            <w:shd w:fill="FFFFFF"/>
          </w:tcPr>
          <w:p>
            <w:pPr/>
            <w:r>
              <w:rPr>
                <w:sz w:val="16"/>
              </w:rPr>
              <w:t>PWA shell, guest-first entry, NIP-07 signer detection, Nostash onboarding modal for iOS/iPadOS Safari, signed auth challenge, registration form, player/team model, organizer admin view, accessibility checks.</w:t>
            </w:r>
          </w:p>
        </w:tc>
      </w:tr>
      <w:tr>
        <w:tc>
          <w:tcPr>
            <w:tcW w:type="dxa" w:w="2736"/>
            <w:vAlign w:val="top"/>
            <w:shd w:fill="FFFFFF"/>
          </w:tcPr>
          <w:p>
            <w:pPr>
              <w:spacing w:after="0"/>
            </w:pPr>
            <w:r>
              <w:rPr>
                <w:sz w:val="16"/>
              </w:rPr>
            </w:r>
            <w:r>
              <w:rPr>
                <w:b w:val="0"/>
                <w:sz w:val="16"/>
              </w:rPr>
              <w:t>Sprint 2: Course data and scorekeeper prototype</w:t>
            </w:r>
          </w:p>
        </w:tc>
        <w:tc>
          <w:tcPr>
            <w:tcW w:type="dxa" w:w="7920"/>
            <w:vAlign w:val="top"/>
            <w:shd w:fill="FFFFFF"/>
          </w:tcPr>
          <w:p>
            <w:pPr>
              <w:spacing w:after="0"/>
            </w:pPr>
            <w:r>
              <w:rPr>
                <w:sz w:val="16"/>
              </w:rPr>
            </w:r>
            <w:r>
              <w:rPr>
                <w:b w:val="0"/>
                <w:sz w:val="16"/>
              </w:rPr>
              <w:t>Course import/manual entry, course selection, basic score entry, standings calculation, initial attestation state.</w:t>
            </w:r>
          </w:p>
        </w:tc>
      </w:tr>
      <w:tr>
        <w:tc>
          <w:tcPr>
            <w:tcW w:type="dxa" w:w="2736"/>
            <w:vAlign w:val="top"/>
            <w:shd w:fill="FFFFFF"/>
          </w:tcPr>
          <w:p>
            <w:pPr>
              <w:spacing w:after="0"/>
            </w:pPr>
            <w:r>
              <w:rPr>
                <w:sz w:val="16"/>
              </w:rPr>
            </w:r>
            <w:r>
              <w:rPr>
                <w:b w:val="0"/>
                <w:sz w:val="16"/>
              </w:rPr>
              <w:t>Sprint 3: Bitcoin/Lightning fee contribution</w:t>
            </w:r>
          </w:p>
        </w:tc>
        <w:tc>
          <w:tcPr>
            <w:tcW w:type="dxa" w:w="7920"/>
            <w:vAlign w:val="top"/>
            <w:shd w:fill="FFFFFF"/>
          </w:tcPr>
          <w:p>
            <w:pPr>
              <w:spacing w:after="0"/>
            </w:pPr>
            <w:r>
              <w:rPr>
                <w:sz w:val="16"/>
              </w:rPr>
            </w:r>
            <w:r>
              <w:rPr>
                <w:b w:val="0"/>
                <w:sz w:val="16"/>
              </w:rPr>
              <w:t>BTCPay adapter, NWC spike, payment status, registration confirmation, reconciliation view, failure/expiry states.</w:t>
            </w:r>
          </w:p>
        </w:tc>
      </w:tr>
      <w:tr>
        <w:tc>
          <w:tcPr>
            <w:tcW w:type="dxa" w:w="2736"/>
            <w:vAlign w:val="top"/>
            <w:shd w:fill="FFFFFF"/>
          </w:tcPr>
          <w:p>
            <w:pPr>
              <w:spacing w:after="0"/>
            </w:pPr>
            <w:r>
              <w:rPr>
                <w:sz w:val="16"/>
              </w:rPr>
            </w:r>
            <w:r>
              <w:rPr>
                <w:b w:val="0"/>
                <w:sz w:val="16"/>
              </w:rPr>
              <w:t>Sprint 4: Live event readiness</w:t>
            </w:r>
          </w:p>
        </w:tc>
        <w:tc>
          <w:tcPr>
            <w:tcW w:type="dxa" w:w="7920"/>
            <w:vAlign w:val="top"/>
            <w:shd w:fill="FFFFFF"/>
          </w:tcPr>
          <w:p>
            <w:pPr>
              <w:spacing w:after="0"/>
            </w:pPr>
            <w:r>
              <w:rPr>
                <w:sz w:val="16"/>
              </w:rPr>
            </w:r>
            <w:r>
              <w:rPr>
                <w:b w:val="0"/>
                <w:sz w:val="16"/>
              </w:rPr>
              <w:t>Offline score entry, sync rules, public scoreboard, venue maps, event dry run, QA plan, operational runbook.</w:t>
            </w:r>
          </w:p>
        </w:tc>
      </w:tr>
      <w:tr>
        <w:tc>
          <w:tcPr>
            <w:tcW w:type="dxa" w:w="2736"/>
            <w:vAlign w:val="top"/>
            <w:shd w:fill="FFFFFF"/>
          </w:tcPr>
          <w:p>
            <w:pPr>
              <w:spacing w:after="0"/>
            </w:pPr>
            <w:r>
              <w:rPr>
                <w:sz w:val="16"/>
              </w:rPr>
            </w:r>
            <w:r>
              <w:rPr>
                <w:b w:val="0"/>
                <w:sz w:val="16"/>
              </w:rPr>
              <w:t>Sprint 5: Wallet/course hardening</w:t>
            </w:r>
          </w:p>
        </w:tc>
        <w:tc>
          <w:tcPr>
            <w:tcW w:type="dxa" w:w="7920"/>
            <w:vAlign w:val="top"/>
            <w:shd w:fill="FFFFFF"/>
          </w:tcPr>
          <w:p>
            <w:pPr>
              <w:spacing w:after="0"/>
            </w:pPr>
            <w:r>
              <w:rPr>
                <w:sz w:val="16"/>
              </w:rPr>
            </w:r>
            <w:r>
              <w:rPr>
                <w:b w:val="0"/>
                <w:sz w:val="16"/>
              </w:rPr>
              <w:t>Wallet revocation/rotation, zaps/rewards controls, course correction queue, moderation, data-quality display.</w:t>
            </w:r>
          </w:p>
        </w:tc>
      </w:tr>
    </w:tbl>
    <w:p/>
    <w:p>
      <w:pPr>
        <w:pStyle w:val="Heading2"/>
        <w:keepNext/>
      </w:pPr>
      <w:r>
        <w:t>Implementation sequence after ADR review</w:t>
      </w:r>
    </w:p>
    <w:p>
      <w:pPr>
        <w:spacing w:after="40"/>
        <w:ind w:left="403" w:hanging="403"/>
      </w:pPr>
      <w:r>
        <w:rPr>
          <w:sz w:val="18"/>
        </w:rPr>
        <w:t>1.  Accept or revise ADRs 0011-0014 before initializing backend/frontend/database/deployment scaffolding.</w:t>
      </w:r>
    </w:p>
    <w:p>
      <w:pPr>
        <w:spacing w:after="40"/>
        <w:ind w:left="403" w:hanging="403"/>
      </w:pPr>
      <w:r>
        <w:rPr>
          <w:sz w:val="18"/>
        </w:rPr>
        <w:t>2.  Initialize the repository structure and replace CI placeholder commands with real stack commands.</w:t>
      </w:r>
    </w:p>
    <w:p>
      <w:pPr>
        <w:spacing w:after="40"/>
        <w:ind w:left="403" w:hanging="403"/>
      </w:pPr>
      <w:r>
        <w:rPr>
          <w:sz w:val="18"/>
        </w:rPr>
        <w:t>3.  Implement Nostr identity, signer detection, Nostash onboarding, signed auth challenge, and role model first, because payments, attestations, admin permissions, and encrypted features depend on trustworthy identity.</w:t>
      </w:r>
    </w:p>
    <w:p>
      <w:pPr>
        <w:spacing w:after="40"/>
        <w:ind w:left="403" w:hanging="403"/>
      </w:pPr>
      <w:r>
        <w:rPr>
          <w:sz w:val="18"/>
        </w:rPr>
        <w:t>4.  Implement registration/team model and course baseline before scorekeeping.</w:t>
      </w:r>
    </w:p>
    <w:p>
      <w:pPr>
        <w:spacing w:after="40"/>
        <w:ind w:left="403" w:hanging="403"/>
      </w:pPr>
      <w:r>
        <w:rPr>
          <w:sz w:val="18"/>
        </w:rPr>
        <w:t>5.  Implement score state machine and attestation payload before live scoreboard polish.</w:t>
      </w:r>
    </w:p>
    <w:p>
      <w:pPr>
        <w:spacing w:after="40"/>
        <w:ind w:left="403" w:hanging="403"/>
      </w:pPr>
      <w:r>
        <w:rPr>
          <w:sz w:val="18"/>
        </w:rPr>
        <w:t>6.  Implement payment adapter and BTCPay/NWC flows after the registration lifecycle exists.</w:t>
      </w:r>
    </w:p>
    <w:p>
      <w:pPr>
        <w:spacing w:after="40"/>
        <w:ind w:left="403" w:hanging="403"/>
      </w:pPr>
      <w:r>
        <w:rPr>
          <w:sz w:val="18"/>
        </w:rPr>
        <w:t>7.  Implement offline scorekeeper workflow before field dry run.</w:t>
      </w:r>
    </w:p>
    <w:p>
      <w:pPr>
        <w:pStyle w:val="Heading1"/>
        <w:keepNext/>
      </w:pPr>
      <w:r>
        <w:t>16. Backlog themes and contribution entry points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592"/>
            <w:shd w:fill="4B1D83"/>
            <w:vAlign w:val="center"/>
          </w:tcPr>
          <w:p>
            <w:pPr>
              <w:spacing w:after="0"/>
            </w:pPr>
            <w:r>
              <w:rPr>
                <w:b/>
                <w:color w:val="FFFFFF"/>
                <w:sz w:val="16"/>
              </w:rPr>
            </w:r>
            <w:r>
              <w:rPr>
                <w:b/>
                <w:color w:val="FFFFFF"/>
                <w:sz w:val="16"/>
              </w:rPr>
              <w:t>Theme</w:t>
            </w:r>
          </w:p>
        </w:tc>
        <w:tc>
          <w:tcPr>
            <w:tcW w:type="dxa" w:w="8064"/>
            <w:shd w:fill="4B1D83"/>
            <w:vAlign w:val="center"/>
          </w:tcPr>
          <w:p>
            <w:pPr>
              <w:spacing w:after="0"/>
            </w:pPr>
            <w:r>
              <w:rPr>
                <w:b/>
                <w:color w:val="FFFFFF"/>
                <w:sz w:val="16"/>
              </w:rPr>
            </w:r>
            <w:r>
              <w:rPr>
                <w:b/>
                <w:color w:val="FFFFFF"/>
                <w:sz w:val="16"/>
              </w:rPr>
              <w:t>Epic scope</w:t>
            </w:r>
          </w:p>
        </w:tc>
      </w:tr>
      <w:tr>
        <w:tc>
          <w:tcPr>
            <w:tcW w:type="dxa" w:w="2592"/>
            <w:vAlign w:val="top"/>
            <w:shd w:fill="FFFFFF"/>
          </w:tcPr>
          <w:p>
            <w:pPr>
              <w:spacing w:after="0"/>
            </w:pPr>
            <w:r>
              <w:rPr>
                <w:sz w:val="16"/>
              </w:rPr>
            </w:r>
            <w:r>
              <w:rPr>
                <w:b w:val="0"/>
                <w:sz w:val="16"/>
              </w:rPr>
              <w:t>Identity and access</w:t>
            </w:r>
          </w:p>
        </w:tc>
        <w:tc>
          <w:tcPr>
            <w:tcW w:type="dxa" w:w="8064"/>
            <w:vAlign w:val="top"/>
            <w:shd w:fill="FFFFFF"/>
          </w:tcPr>
          <w:p>
            <w:pPr/>
            <w:r>
              <w:rPr>
                <w:sz w:val="16"/>
              </w:rPr>
              <w:t>Guest-first entry, Nostr login/association, NIP-07 signer detection, Nostash onboarding, signed auth challenge, NIP-98 review, role permissions, admin access, fallback registration.</w:t>
            </w:r>
          </w:p>
        </w:tc>
      </w:tr>
      <w:tr>
        <w:tc>
          <w:tcPr>
            <w:tcW w:type="dxa" w:w="2592"/>
            <w:vAlign w:val="top"/>
            <w:shd w:fill="FFFFFF"/>
          </w:tcPr>
          <w:p>
            <w:pPr>
              <w:spacing w:after="0"/>
            </w:pPr>
            <w:r>
              <w:rPr>
                <w:sz w:val="16"/>
              </w:rPr>
            </w:r>
            <w:r>
              <w:rPr>
                <w:b w:val="0"/>
                <w:sz w:val="16"/>
              </w:rPr>
              <w:t>Registration and teams</w:t>
            </w:r>
          </w:p>
        </w:tc>
        <w:tc>
          <w:tcPr>
            <w:tcW w:type="dxa" w:w="8064"/>
            <w:vAlign w:val="top"/>
            <w:shd w:fill="FFFFFF"/>
          </w:tcPr>
          <w:p>
            <w:pPr>
              <w:spacing w:after="0"/>
            </w:pPr>
            <w:r>
              <w:rPr>
                <w:sz w:val="16"/>
              </w:rPr>
            </w:r>
            <w:r>
              <w:rPr>
                <w:b w:val="0"/>
                <w:sz w:val="16"/>
              </w:rPr>
              <w:t>Player forms, team manager flows, roster status, rules acceptance, exports.</w:t>
            </w:r>
          </w:p>
        </w:tc>
      </w:tr>
      <w:tr>
        <w:tc>
          <w:tcPr>
            <w:tcW w:type="dxa" w:w="2592"/>
            <w:vAlign w:val="top"/>
            <w:shd w:fill="FFFFFF"/>
          </w:tcPr>
          <w:p>
            <w:pPr>
              <w:spacing w:after="0"/>
            </w:pPr>
            <w:r>
              <w:rPr>
                <w:sz w:val="16"/>
              </w:rPr>
            </w:r>
            <w:r>
              <w:rPr>
                <w:b w:val="0"/>
                <w:sz w:val="16"/>
              </w:rPr>
              <w:t>Payments and wallets</w:t>
            </w:r>
          </w:p>
        </w:tc>
        <w:tc>
          <w:tcPr>
            <w:tcW w:type="dxa" w:w="8064"/>
            <w:vAlign w:val="top"/>
            <w:shd w:fill="FFFFFF"/>
          </w:tcPr>
          <w:p>
            <w:pPr>
              <w:spacing w:after="0"/>
            </w:pPr>
            <w:r>
              <w:rPr>
                <w:sz w:val="16"/>
              </w:rPr>
            </w:r>
            <w:r>
              <w:rPr>
                <w:b w:val="0"/>
                <w:sz w:val="16"/>
              </w:rPr>
              <w:t>BTCPay invoices, NWC wallet connection, WebLN fallback, fee status, zaps, rewards, reconciliation.</w:t>
            </w:r>
          </w:p>
        </w:tc>
      </w:tr>
      <w:tr>
        <w:tc>
          <w:tcPr>
            <w:tcW w:type="dxa" w:w="2592"/>
            <w:vAlign w:val="top"/>
            <w:shd w:fill="FFFFFF"/>
          </w:tcPr>
          <w:p>
            <w:pPr>
              <w:spacing w:after="0"/>
            </w:pPr>
            <w:r>
              <w:rPr>
                <w:sz w:val="16"/>
              </w:rPr>
            </w:r>
            <w:r>
              <w:rPr>
                <w:b w:val="0"/>
                <w:sz w:val="16"/>
              </w:rPr>
              <w:t>Course data</w:t>
            </w:r>
          </w:p>
        </w:tc>
        <w:tc>
          <w:tcPr>
            <w:tcW w:type="dxa" w:w="8064"/>
            <w:vAlign w:val="top"/>
            <w:shd w:fill="FFFFFF"/>
          </w:tcPr>
          <w:p>
            <w:pPr>
              <w:spacing w:after="0"/>
            </w:pPr>
            <w:r>
              <w:rPr>
                <w:sz w:val="16"/>
              </w:rPr>
            </w:r>
            <w:r>
              <w:rPr>
                <w:b w:val="0"/>
                <w:sz w:val="16"/>
              </w:rPr>
              <w:t>Source registry, importers, normalization, A/B benchmark, El Salvador spike, corrections, ratings.</w:t>
            </w:r>
          </w:p>
        </w:tc>
      </w:tr>
      <w:tr>
        <w:tc>
          <w:tcPr>
            <w:tcW w:type="dxa" w:w="2592"/>
            <w:vAlign w:val="top"/>
            <w:shd w:fill="FFFFFF"/>
          </w:tcPr>
          <w:p>
            <w:pPr>
              <w:spacing w:after="0"/>
            </w:pPr>
            <w:r>
              <w:rPr>
                <w:sz w:val="16"/>
              </w:rPr>
            </w:r>
            <w:r>
              <w:rPr>
                <w:b w:val="0"/>
                <w:sz w:val="16"/>
              </w:rPr>
              <w:t>Maps and locations</w:t>
            </w:r>
          </w:p>
        </w:tc>
        <w:tc>
          <w:tcPr>
            <w:tcW w:type="dxa" w:w="8064"/>
            <w:vAlign w:val="top"/>
            <w:shd w:fill="FFFFFF"/>
          </w:tcPr>
          <w:p>
            <w:pPr>
              <w:spacing w:after="0"/>
            </w:pPr>
            <w:r>
              <w:rPr>
                <w:sz w:val="16"/>
              </w:rPr>
            </w:r>
            <w:r>
              <w:rPr>
                <w:b w:val="0"/>
                <w:sz w:val="16"/>
              </w:rPr>
              <w:t>OpenStreetMap venue display, hotels, meeting points, course maps, attribution.</w:t>
            </w:r>
          </w:p>
        </w:tc>
      </w:tr>
      <w:tr>
        <w:tc>
          <w:tcPr>
            <w:tcW w:type="dxa" w:w="2592"/>
            <w:vAlign w:val="top"/>
            <w:shd w:fill="FFFFFF"/>
          </w:tcPr>
          <w:p>
            <w:pPr>
              <w:spacing w:after="0"/>
            </w:pPr>
            <w:r>
              <w:rPr>
                <w:sz w:val="16"/>
              </w:rPr>
            </w:r>
            <w:r>
              <w:rPr>
                <w:b w:val="0"/>
                <w:sz w:val="16"/>
              </w:rPr>
              <w:t>Scoring engine</w:t>
            </w:r>
          </w:p>
        </w:tc>
        <w:tc>
          <w:tcPr>
            <w:tcW w:type="dxa" w:w="8064"/>
            <w:vAlign w:val="top"/>
            <w:shd w:fill="FFFFFF"/>
          </w:tcPr>
          <w:p>
            <w:pPr>
              <w:spacing w:after="0"/>
            </w:pPr>
            <w:r>
              <w:rPr>
                <w:sz w:val="16"/>
              </w:rPr>
            </w:r>
            <w:r>
              <w:rPr>
                <w:b w:val="0"/>
                <w:sz w:val="16"/>
              </w:rPr>
              <w:t>Golf scoring format, hole-by-hole entry, validation, corrections, audit trail, state machine.</w:t>
            </w:r>
          </w:p>
        </w:tc>
      </w:tr>
      <w:tr>
        <w:tc>
          <w:tcPr>
            <w:tcW w:type="dxa" w:w="2592"/>
            <w:vAlign w:val="top"/>
            <w:shd w:fill="FFFFFF"/>
          </w:tcPr>
          <w:p>
            <w:pPr>
              <w:spacing w:after="0"/>
            </w:pPr>
            <w:r>
              <w:rPr>
                <w:sz w:val="16"/>
              </w:rPr>
            </w:r>
            <w:r>
              <w:rPr>
                <w:b w:val="0"/>
                <w:sz w:val="16"/>
              </w:rPr>
              <w:t>Attestation and disputes</w:t>
            </w:r>
          </w:p>
        </w:tc>
        <w:tc>
          <w:tcPr>
            <w:tcW w:type="dxa" w:w="8064"/>
            <w:vAlign w:val="top"/>
            <w:shd w:fill="FFFFFF"/>
          </w:tcPr>
          <w:p>
            <w:pPr>
              <w:spacing w:after="0"/>
            </w:pPr>
            <w:r>
              <w:rPr>
                <w:sz w:val="16"/>
              </w:rPr>
            </w:r>
            <w:r>
              <w:rPr>
                <w:b w:val="0"/>
                <w:sz w:val="16"/>
              </w:rPr>
              <w:t>Validity attestations, marker review, organizer override, challenge/appeal windows, timestamp anchoring.</w:t>
            </w:r>
          </w:p>
        </w:tc>
      </w:tr>
      <w:tr>
        <w:tc>
          <w:tcPr>
            <w:tcW w:type="dxa" w:w="2592"/>
            <w:vAlign w:val="top"/>
            <w:shd w:fill="FFFFFF"/>
          </w:tcPr>
          <w:p>
            <w:pPr>
              <w:spacing w:after="0"/>
            </w:pPr>
            <w:r>
              <w:rPr>
                <w:sz w:val="16"/>
              </w:rPr>
            </w:r>
            <w:r>
              <w:rPr>
                <w:b w:val="0"/>
                <w:sz w:val="16"/>
              </w:rPr>
              <w:t>Live scoreboard</w:t>
            </w:r>
          </w:p>
        </w:tc>
        <w:tc>
          <w:tcPr>
            <w:tcW w:type="dxa" w:w="8064"/>
            <w:vAlign w:val="top"/>
            <w:shd w:fill="FFFFFF"/>
          </w:tcPr>
          <w:p>
            <w:pPr>
              <w:spacing w:after="0"/>
            </w:pPr>
            <w:r>
              <w:rPr>
                <w:sz w:val="16"/>
              </w:rPr>
            </w:r>
            <w:r>
              <w:rPr>
                <w:b w:val="0"/>
                <w:sz w:val="16"/>
              </w:rPr>
              <w:t>Public standings, refresh strategy, score snapshots, Nostr events, fan display.</w:t>
            </w:r>
          </w:p>
        </w:tc>
      </w:tr>
      <w:tr>
        <w:tc>
          <w:tcPr>
            <w:tcW w:type="dxa" w:w="2592"/>
            <w:vAlign w:val="top"/>
            <w:shd w:fill="FFFFFF"/>
          </w:tcPr>
          <w:p>
            <w:pPr>
              <w:spacing w:after="0"/>
            </w:pPr>
            <w:r>
              <w:rPr>
                <w:sz w:val="16"/>
              </w:rPr>
            </w:r>
            <w:r>
              <w:rPr>
                <w:b w:val="0"/>
                <w:sz w:val="16"/>
              </w:rPr>
              <w:t>PWA and offline</w:t>
            </w:r>
          </w:p>
        </w:tc>
        <w:tc>
          <w:tcPr>
            <w:tcW w:type="dxa" w:w="8064"/>
            <w:vAlign w:val="top"/>
            <w:shd w:fill="FFFFFF"/>
          </w:tcPr>
          <w:p>
            <w:pPr>
              <w:spacing w:after="0"/>
            </w:pPr>
            <w:r>
              <w:rPr>
                <w:sz w:val="16"/>
              </w:rPr>
            </w:r>
            <w:r>
              <w:rPr>
                <w:b w:val="0"/>
                <w:sz w:val="16"/>
              </w:rPr>
              <w:t>Installability, service worker, IndexedDB queue, sync, mobile-first outdoor UX.</w:t>
            </w:r>
          </w:p>
        </w:tc>
      </w:tr>
      <w:tr>
        <w:tc>
          <w:tcPr>
            <w:tcW w:type="dxa" w:w="2592"/>
            <w:vAlign w:val="top"/>
            <w:shd w:fill="FFFFFF"/>
          </w:tcPr>
          <w:p>
            <w:pPr>
              <w:spacing w:after="0"/>
            </w:pPr>
            <w:r>
              <w:rPr>
                <w:sz w:val="16"/>
              </w:rPr>
            </w:r>
            <w:r>
              <w:rPr>
                <w:b w:val="0"/>
                <w:sz w:val="16"/>
              </w:rPr>
              <w:t>Accessibility and QA</w:t>
            </w:r>
          </w:p>
        </w:tc>
        <w:tc>
          <w:tcPr>
            <w:tcW w:type="dxa" w:w="8064"/>
            <w:vAlign w:val="top"/>
            <w:shd w:fill="FFFFFF"/>
          </w:tcPr>
          <w:p>
            <w:pPr>
              <w:spacing w:after="0"/>
            </w:pPr>
            <w:r>
              <w:rPr>
                <w:sz w:val="16"/>
              </w:rPr>
            </w:r>
            <w:r>
              <w:rPr>
                <w:b w:val="0"/>
                <w:sz w:val="16"/>
              </w:rPr>
              <w:t>WCAG criteria, keyboard/screen-reader testing, automated tests, dry runs.</w:t>
            </w:r>
          </w:p>
        </w:tc>
      </w:tr>
      <w:tr>
        <w:tc>
          <w:tcPr>
            <w:tcW w:type="dxa" w:w="2592"/>
            <w:vAlign w:val="top"/>
            <w:shd w:fill="FFFFFF"/>
          </w:tcPr>
          <w:p>
            <w:pPr>
              <w:spacing w:after="0"/>
            </w:pPr>
            <w:r>
              <w:rPr>
                <w:sz w:val="16"/>
              </w:rPr>
            </w:r>
            <w:r>
              <w:rPr>
                <w:b w:val="0"/>
                <w:sz w:val="16"/>
              </w:rPr>
              <w:t>Governance and community</w:t>
            </w:r>
          </w:p>
        </w:tc>
        <w:tc>
          <w:tcPr>
            <w:tcW w:type="dxa" w:w="8064"/>
            <w:vAlign w:val="top"/>
            <w:shd w:fill="FFFFFF"/>
          </w:tcPr>
          <w:p>
            <w:pPr>
              <w:spacing w:after="0"/>
            </w:pPr>
            <w:r>
              <w:rPr>
                <w:sz w:val="16"/>
              </w:rPr>
            </w:r>
            <w:r>
              <w:rPr>
                <w:b w:val="0"/>
                <w:sz w:val="16"/>
              </w:rPr>
              <w:t>Contributor guide, code of conduct, issue templates, ADRs, bounties, sponsor policy.</w:t>
            </w:r>
          </w:p>
        </w:tc>
      </w:tr>
      <w:tr>
        <w:tc>
          <w:tcPr>
            <w:tcW w:type="dxa" w:w="2592"/>
            <w:vAlign w:val="top"/>
            <w:shd w:fill="FFFFFF"/>
          </w:tcPr>
          <w:p>
            <w:pPr>
              <w:spacing w:after="0"/>
            </w:pPr>
            <w:r>
              <w:rPr>
                <w:sz w:val="16"/>
              </w:rPr>
            </w:r>
            <w:r>
              <w:rPr>
                <w:b w:val="0"/>
                <w:sz w:val="16"/>
              </w:rPr>
              <w:t>Future regulated features</w:t>
            </w:r>
          </w:p>
        </w:tc>
        <w:tc>
          <w:tcPr>
            <w:tcW w:type="dxa" w:w="8064"/>
            <w:vAlign w:val="top"/>
            <w:shd w:fill="FFFFFF"/>
          </w:tcPr>
          <w:p>
            <w:pPr>
              <w:spacing w:after="0"/>
            </w:pPr>
            <w:r>
              <w:rPr>
                <w:sz w:val="16"/>
              </w:rPr>
            </w:r>
            <w:r>
              <w:rPr>
                <w:b w:val="0"/>
                <w:sz w:val="16"/>
              </w:rPr>
              <w:t>Prediction/betting research only; legal gate before implementation.</w:t>
            </w:r>
          </w:p>
        </w:tc>
      </w:tr>
    </w:tbl>
    <w:p/>
    <w:p>
      <w:pPr>
        <w:pStyle w:val="Heading2"/>
        <w:keepNext/>
      </w:pPr>
      <w:r>
        <w:t>Starting points by participant type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376"/>
            <w:shd w:fill="4B1D83"/>
            <w:vAlign w:val="center"/>
          </w:tcPr>
          <w:p>
            <w:pPr>
              <w:spacing w:after="0"/>
            </w:pPr>
            <w:r>
              <w:rPr>
                <w:b/>
                <w:color w:val="FFFFFF"/>
                <w:sz w:val="16"/>
              </w:rPr>
            </w:r>
            <w:r>
              <w:rPr>
                <w:b/>
                <w:color w:val="FFFFFF"/>
                <w:sz w:val="16"/>
              </w:rPr>
              <w:t>Participant</w:t>
            </w:r>
          </w:p>
        </w:tc>
        <w:tc>
          <w:tcPr>
            <w:tcW w:type="dxa" w:w="8280"/>
            <w:shd w:fill="4B1D83"/>
            <w:vAlign w:val="center"/>
          </w:tcPr>
          <w:p>
            <w:pPr>
              <w:spacing w:after="0"/>
            </w:pPr>
            <w:r>
              <w:rPr>
                <w:b/>
                <w:color w:val="FFFFFF"/>
                <w:sz w:val="16"/>
              </w:rPr>
            </w:r>
            <w:r>
              <w:rPr>
                <w:b/>
                <w:color w:val="FFFFFF"/>
                <w:sz w:val="16"/>
              </w:rPr>
              <w:t>Best first contribution</w:t>
            </w:r>
          </w:p>
        </w:tc>
      </w:tr>
      <w:tr>
        <w:tc>
          <w:tcPr>
            <w:tcW w:type="dxa" w:w="2376"/>
            <w:vAlign w:val="top"/>
            <w:shd w:fill="FFFFFF"/>
          </w:tcPr>
          <w:p>
            <w:pPr>
              <w:spacing w:after="0"/>
            </w:pPr>
            <w:r>
              <w:rPr>
                <w:sz w:val="16"/>
              </w:rPr>
            </w:r>
            <w:r>
              <w:rPr>
                <w:b w:val="0"/>
                <w:sz w:val="16"/>
              </w:rPr>
              <w:t>Developer</w:t>
            </w:r>
          </w:p>
        </w:tc>
        <w:tc>
          <w:tcPr>
            <w:tcW w:type="dxa" w:w="8280"/>
            <w:vAlign w:val="top"/>
            <w:shd w:fill="FFFFFF"/>
          </w:tcPr>
          <w:p>
            <w:pPr>
              <w:spacing w:after="0"/>
            </w:pPr>
            <w:r>
              <w:rPr>
                <w:sz w:val="16"/>
              </w:rPr>
            </w:r>
            <w:r>
              <w:rPr>
                <w:b w:val="0"/>
                <w:sz w:val="16"/>
              </w:rPr>
              <w:t>Read README, CONTRIBUTING, ADR index. Pick a good-first-issue after Sprint 0 repo status is clean.</w:t>
            </w:r>
          </w:p>
        </w:tc>
      </w:tr>
      <w:tr>
        <w:tc>
          <w:tcPr>
            <w:tcW w:type="dxa" w:w="2376"/>
            <w:vAlign w:val="top"/>
            <w:shd w:fill="FFFFFF"/>
          </w:tcPr>
          <w:p>
            <w:pPr>
              <w:spacing w:after="0"/>
            </w:pPr>
            <w:r>
              <w:rPr>
                <w:sz w:val="16"/>
              </w:rPr>
            </w:r>
            <w:r>
              <w:rPr>
                <w:b w:val="0"/>
                <w:sz w:val="16"/>
              </w:rPr>
              <w:t>UX specialist</w:t>
            </w:r>
          </w:p>
        </w:tc>
        <w:tc>
          <w:tcPr>
            <w:tcW w:type="dxa" w:w="8280"/>
            <w:vAlign w:val="top"/>
            <w:shd w:fill="FFFFFF"/>
          </w:tcPr>
          <w:p>
            <w:pPr/>
            <w:r>
              <w:rPr>
                <w:sz w:val="16"/>
              </w:rPr>
              <w:t>Review registration, Nostash signer onboarding, scorekeeper, wallet, course-correction, and accessibility flows before implementation hardens.</w:t>
            </w:r>
          </w:p>
        </w:tc>
      </w:tr>
      <w:tr>
        <w:tc>
          <w:tcPr>
            <w:tcW w:type="dxa" w:w="2376"/>
            <w:vAlign w:val="top"/>
            <w:shd w:fill="FFFFFF"/>
          </w:tcPr>
          <w:p>
            <w:pPr>
              <w:spacing w:after="0"/>
            </w:pPr>
            <w:r>
              <w:rPr>
                <w:sz w:val="16"/>
              </w:rPr>
            </w:r>
            <w:r>
              <w:rPr>
                <w:b w:val="0"/>
                <w:sz w:val="16"/>
              </w:rPr>
              <w:t>Security reviewer</w:t>
            </w:r>
          </w:p>
        </w:tc>
        <w:tc>
          <w:tcPr>
            <w:tcW w:type="dxa" w:w="8280"/>
            <w:vAlign w:val="top"/>
            <w:shd w:fill="FFFFFF"/>
          </w:tcPr>
          <w:p>
            <w:pPr>
              <w:spacing w:after="0"/>
            </w:pPr>
            <w:r>
              <w:rPr>
                <w:sz w:val="16"/>
              </w:rPr>
            </w:r>
            <w:r>
              <w:rPr>
                <w:b w:val="0"/>
                <w:sz w:val="16"/>
              </w:rPr>
              <w:t>Focus first on Nostr signing, wallet connections, payment state, admin permissions, and CI metadata gates.</w:t>
            </w:r>
          </w:p>
        </w:tc>
      </w:tr>
      <w:tr>
        <w:tc>
          <w:tcPr>
            <w:tcW w:type="dxa" w:w="2376"/>
            <w:vAlign w:val="top"/>
            <w:shd w:fill="FFFFFF"/>
          </w:tcPr>
          <w:p>
            <w:pPr>
              <w:spacing w:after="0"/>
            </w:pPr>
            <w:r>
              <w:rPr>
                <w:sz w:val="16"/>
              </w:rPr>
            </w:r>
            <w:r>
              <w:rPr>
                <w:b w:val="0"/>
                <w:sz w:val="16"/>
              </w:rPr>
              <w:t>License reviewer</w:t>
            </w:r>
          </w:p>
        </w:tc>
        <w:tc>
          <w:tcPr>
            <w:tcW w:type="dxa" w:w="8280"/>
            <w:vAlign w:val="top"/>
            <w:shd w:fill="FFFFFF"/>
          </w:tcPr>
          <w:p>
            <w:pPr>
              <w:spacing w:after="0"/>
            </w:pPr>
            <w:r>
              <w:rPr>
                <w:sz w:val="16"/>
              </w:rPr>
            </w:r>
            <w:r>
              <w:rPr>
                <w:b w:val="0"/>
                <w:sz w:val="16"/>
              </w:rPr>
              <w:t>Focus first on dependencies, ODbL source mixing, Open Course Data Model license, and candidate paid APIs.</w:t>
            </w:r>
          </w:p>
        </w:tc>
      </w:tr>
      <w:tr>
        <w:tc>
          <w:tcPr>
            <w:tcW w:type="dxa" w:w="2376"/>
            <w:vAlign w:val="top"/>
            <w:shd w:fill="FFFFFF"/>
          </w:tcPr>
          <w:p>
            <w:pPr>
              <w:spacing w:after="0"/>
            </w:pPr>
            <w:r>
              <w:rPr>
                <w:sz w:val="16"/>
              </w:rPr>
            </w:r>
            <w:r>
              <w:rPr>
                <w:b w:val="0"/>
                <w:sz w:val="16"/>
              </w:rPr>
              <w:t>Course data steward</w:t>
            </w:r>
          </w:p>
        </w:tc>
        <w:tc>
          <w:tcPr>
            <w:tcW w:type="dxa" w:w="8280"/>
            <w:vAlign w:val="top"/>
            <w:shd w:fill="FFFFFF"/>
          </w:tcPr>
          <w:p>
            <w:pPr>
              <w:spacing w:after="0"/>
            </w:pPr>
            <w:r>
              <w:rPr>
                <w:sz w:val="16"/>
              </w:rPr>
            </w:r>
            <w:r>
              <w:rPr>
                <w:b w:val="0"/>
                <w:sz w:val="16"/>
              </w:rPr>
              <w:t>Run the US/Europe/El Salvador benchmark and define field-level provenance rules.</w:t>
            </w:r>
          </w:p>
        </w:tc>
      </w:tr>
      <w:tr>
        <w:tc>
          <w:tcPr>
            <w:tcW w:type="dxa" w:w="2376"/>
            <w:vAlign w:val="top"/>
            <w:shd w:fill="FFFFFF"/>
          </w:tcPr>
          <w:p>
            <w:pPr>
              <w:spacing w:after="0"/>
            </w:pPr>
            <w:r>
              <w:rPr>
                <w:sz w:val="16"/>
              </w:rPr>
            </w:r>
            <w:r>
              <w:rPr>
                <w:b w:val="0"/>
                <w:sz w:val="16"/>
              </w:rPr>
              <w:t>Nostr engineer</w:t>
            </w:r>
          </w:p>
        </w:tc>
        <w:tc>
          <w:tcPr>
            <w:tcW w:type="dxa" w:w="8280"/>
            <w:vAlign w:val="top"/>
            <w:shd w:fill="FFFFFF"/>
          </w:tcPr>
          <w:p>
            <w:pPr/>
            <w:r>
              <w:rPr>
                <w:sz w:val="16"/>
              </w:rPr>
              <w:t>Review Nostash/NIP-07 onboarding, event kinds, signer abstraction, NIP-46 fallback, relay strategy, attestation references, and NIP compatibility.</w:t>
            </w:r>
          </w:p>
        </w:tc>
      </w:tr>
      <w:tr>
        <w:tc>
          <w:tcPr>
            <w:tcW w:type="dxa" w:w="2376"/>
            <w:vAlign w:val="top"/>
            <w:shd w:fill="FFFFFF"/>
          </w:tcPr>
          <w:p>
            <w:pPr>
              <w:spacing w:after="0"/>
            </w:pPr>
            <w:r>
              <w:rPr>
                <w:sz w:val="16"/>
              </w:rPr>
            </w:r>
            <w:r>
              <w:rPr>
                <w:b w:val="0"/>
                <w:sz w:val="16"/>
              </w:rPr>
              <w:t>Lightning engineer</w:t>
            </w:r>
          </w:p>
        </w:tc>
        <w:tc>
          <w:tcPr>
            <w:tcW w:type="dxa" w:w="8280"/>
            <w:vAlign w:val="top"/>
            <w:shd w:fill="FFFFFF"/>
          </w:tcPr>
          <w:p>
            <w:pPr>
              <w:spacing w:after="0"/>
            </w:pPr>
            <w:r>
              <w:rPr>
                <w:sz w:val="16"/>
              </w:rPr>
            </w:r>
            <w:r>
              <w:rPr>
                <w:b w:val="0"/>
                <w:sz w:val="16"/>
              </w:rPr>
              <w:t>Review NWC, BTCPay webhooks, payment state machine, and non-custodial UX.</w:t>
            </w:r>
          </w:p>
        </w:tc>
      </w:tr>
      <w:tr>
        <w:tc>
          <w:tcPr>
            <w:tcW w:type="dxa" w:w="2376"/>
            <w:vAlign w:val="top"/>
            <w:shd w:fill="FFFFFF"/>
          </w:tcPr>
          <w:p>
            <w:pPr>
              <w:spacing w:after="0"/>
            </w:pPr>
            <w:r>
              <w:rPr>
                <w:sz w:val="16"/>
              </w:rPr>
            </w:r>
            <w:r>
              <w:rPr>
                <w:b w:val="0"/>
                <w:sz w:val="16"/>
              </w:rPr>
              <w:t>Sponsor</w:t>
            </w:r>
          </w:p>
        </w:tc>
        <w:tc>
          <w:tcPr>
            <w:tcW w:type="dxa" w:w="8280"/>
            <w:vAlign w:val="top"/>
            <w:shd w:fill="FFFFFF"/>
          </w:tcPr>
          <w:p>
            <w:pPr>
              <w:spacing w:after="0"/>
            </w:pPr>
            <w:r>
              <w:rPr>
                <w:sz w:val="16"/>
              </w:rPr>
            </w:r>
            <w:r>
              <w:rPr>
                <w:b w:val="0"/>
                <w:sz w:val="16"/>
              </w:rPr>
              <w:t>Choose a replaceable contribution area: hosting credits, BTCPay/NWC testing, wallet support, security review, bounties, prizes, or media.</w:t>
            </w:r>
          </w:p>
        </w:tc>
      </w:tr>
      <w:tr>
        <w:tc>
          <w:tcPr>
            <w:tcW w:type="dxa" w:w="2376"/>
            <w:vAlign w:val="top"/>
            <w:shd w:fill="FFFFFF"/>
          </w:tcPr>
          <w:p>
            <w:pPr>
              <w:spacing w:after="0"/>
            </w:pPr>
            <w:r>
              <w:rPr>
                <w:sz w:val="16"/>
              </w:rPr>
            </w:r>
            <w:r>
              <w:rPr>
                <w:b w:val="0"/>
                <w:sz w:val="16"/>
              </w:rPr>
              <w:t>Organizer</w:t>
            </w:r>
          </w:p>
        </w:tc>
        <w:tc>
          <w:tcPr>
            <w:tcW w:type="dxa" w:w="8280"/>
            <w:vAlign w:val="top"/>
            <w:shd w:fill="FFFFFF"/>
          </w:tcPr>
          <w:p>
            <w:pPr>
              <w:spacing w:after="0"/>
            </w:pPr>
            <w:r>
              <w:rPr>
                <w:sz w:val="16"/>
              </w:rPr>
            </w:r>
            <w:r>
              <w:rPr>
                <w:b w:val="0"/>
                <w:sz w:val="16"/>
              </w:rPr>
              <w:t>Validate the real event flow: registration, role assignments, scorekeeping, disputes, payment reconciliation, and event-day fallback procedures.</w:t>
            </w:r>
          </w:p>
        </w:tc>
      </w:tr>
    </w:tbl>
    <w:p/>
    <w:p>
      <w:pPr>
        <w:pStyle w:val="Heading1"/>
        <w:keepNext/>
      </w:pPr>
      <w:r>
        <w:t>17. Risks, open decisions, and next actions</w:t>
      </w:r>
    </w:p>
    <w:p>
      <w:pPr>
        <w:pStyle w:val="Heading2"/>
        <w:keepNext/>
      </w:pPr>
      <w:r>
        <w:t>Updated risk register</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448"/>
            <w:shd w:fill="4B1D83"/>
            <w:vAlign w:val="center"/>
          </w:tcPr>
          <w:p>
            <w:pPr>
              <w:spacing w:after="0"/>
            </w:pPr>
            <w:r>
              <w:rPr>
                <w:b/>
                <w:color w:val="FFFFFF"/>
                <w:sz w:val="16"/>
              </w:rPr>
            </w:r>
            <w:r>
              <w:rPr>
                <w:b/>
                <w:color w:val="FFFFFF"/>
                <w:sz w:val="16"/>
              </w:rPr>
              <w:t>Risk</w:t>
            </w:r>
          </w:p>
        </w:tc>
        <w:tc>
          <w:tcPr>
            <w:tcW w:type="dxa" w:w="1152"/>
            <w:shd w:fill="4B1D83"/>
            <w:vAlign w:val="center"/>
          </w:tcPr>
          <w:p>
            <w:pPr>
              <w:spacing w:after="0"/>
            </w:pPr>
            <w:r>
              <w:rPr>
                <w:b/>
                <w:color w:val="FFFFFF"/>
                <w:sz w:val="16"/>
              </w:rPr>
            </w:r>
            <w:r>
              <w:rPr>
                <w:b/>
                <w:color w:val="FFFFFF"/>
                <w:sz w:val="16"/>
              </w:rPr>
              <w:t>Severity</w:t>
            </w:r>
          </w:p>
        </w:tc>
        <w:tc>
          <w:tcPr>
            <w:tcW w:type="dxa" w:w="7056"/>
            <w:shd w:fill="4B1D83"/>
            <w:vAlign w:val="center"/>
          </w:tcPr>
          <w:p>
            <w:pPr>
              <w:spacing w:after="0"/>
            </w:pPr>
            <w:r>
              <w:rPr>
                <w:b/>
                <w:color w:val="FFFFFF"/>
                <w:sz w:val="16"/>
              </w:rPr>
            </w:r>
            <w:r>
              <w:rPr>
                <w:b/>
                <w:color w:val="FFFFFF"/>
                <w:sz w:val="16"/>
              </w:rPr>
              <w:t>Mitigation</w:t>
            </w:r>
          </w:p>
        </w:tc>
      </w:tr>
      <w:tr>
        <w:tc>
          <w:tcPr>
            <w:tcW w:type="dxa" w:w="2448"/>
            <w:vAlign w:val="top"/>
            <w:shd w:fill="FFFFFF"/>
          </w:tcPr>
          <w:p>
            <w:pPr>
              <w:spacing w:after="0"/>
            </w:pPr>
            <w:r>
              <w:rPr>
                <w:sz w:val="16"/>
              </w:rPr>
            </w:r>
            <w:r>
              <w:rPr>
                <w:b w:val="0"/>
                <w:sz w:val="16"/>
              </w:rPr>
              <w:t>Generated-artifact drift</w:t>
            </w:r>
          </w:p>
        </w:tc>
        <w:tc>
          <w:tcPr>
            <w:tcW w:type="dxa" w:w="1152"/>
            <w:vAlign w:val="top"/>
            <w:shd w:fill="FFFFFF"/>
          </w:tcPr>
          <w:p>
            <w:pPr>
              <w:spacing w:after="0"/>
            </w:pPr>
            <w:r>
              <w:rPr>
                <w:sz w:val="16"/>
              </w:rPr>
            </w:r>
            <w:r>
              <w:rPr>
                <w:b w:val="0"/>
                <w:sz w:val="16"/>
              </w:rPr>
              <w:t>High</w:t>
            </w:r>
          </w:p>
        </w:tc>
        <w:tc>
          <w:tcPr>
            <w:tcW w:type="dxa" w:w="7056"/>
            <w:vAlign w:val="top"/>
            <w:shd w:fill="FFFFFF"/>
          </w:tcPr>
          <w:p>
            <w:pPr>
              <w:spacing w:after="0"/>
            </w:pPr>
            <w:r>
              <w:rPr>
                <w:sz w:val="16"/>
              </w:rPr>
            </w:r>
            <w:r>
              <w:rPr>
                <w:b w:val="0"/>
                <w:sz w:val="16"/>
              </w:rPr>
              <w:t>Confirm which generated files are committed to the live repo and update docs if local artifacts diverge.</w:t>
            </w:r>
          </w:p>
        </w:tc>
      </w:tr>
      <w:tr>
        <w:tc>
          <w:tcPr>
            <w:tcW w:type="dxa" w:w="2448"/>
            <w:vAlign w:val="top"/>
            <w:shd w:fill="FFFFFF"/>
          </w:tcPr>
          <w:p>
            <w:pPr>
              <w:spacing w:after="0"/>
            </w:pPr>
            <w:r>
              <w:rPr>
                <w:sz w:val="16"/>
              </w:rPr>
            </w:r>
            <w:r>
              <w:rPr>
                <w:b w:val="0"/>
                <w:sz w:val="16"/>
              </w:rPr>
              <w:t>ADR status confusion</w:t>
            </w:r>
          </w:p>
        </w:tc>
        <w:tc>
          <w:tcPr>
            <w:tcW w:type="dxa" w:w="1152"/>
            <w:vAlign w:val="top"/>
            <w:shd w:fill="FFFFFF"/>
          </w:tcPr>
          <w:p>
            <w:pPr>
              <w:spacing w:after="0"/>
            </w:pPr>
            <w:r>
              <w:rPr>
                <w:sz w:val="16"/>
              </w:rPr>
            </w:r>
            <w:r>
              <w:rPr>
                <w:b w:val="0"/>
                <w:sz w:val="16"/>
              </w:rPr>
              <w:t>High</w:t>
            </w:r>
          </w:p>
        </w:tc>
        <w:tc>
          <w:tcPr>
            <w:tcW w:type="dxa" w:w="7056"/>
            <w:vAlign w:val="top"/>
            <w:shd w:fill="FFFFFF"/>
          </w:tcPr>
          <w:p>
            <w:pPr>
              <w:spacing w:after="0"/>
            </w:pPr>
            <w:r>
              <w:rPr>
                <w:sz w:val="16"/>
              </w:rPr>
            </w:r>
            <w:r>
              <w:rPr>
                <w:b w:val="0"/>
                <w:sz w:val="16"/>
              </w:rPr>
              <w:t>Keep 0011-0022 Proposed until reviewed. Use PRs to change status to Accepted.</w:t>
            </w:r>
          </w:p>
        </w:tc>
      </w:tr>
      <w:tr>
        <w:tc>
          <w:tcPr>
            <w:tcW w:type="dxa" w:w="2448"/>
            <w:vAlign w:val="top"/>
            <w:shd w:fill="FFFFFF"/>
          </w:tcPr>
          <w:p>
            <w:pPr>
              <w:spacing w:after="0"/>
            </w:pPr>
            <w:r>
              <w:rPr>
                <w:sz w:val="16"/>
              </w:rPr>
            </w:r>
            <w:r>
              <w:rPr>
                <w:b w:val="0"/>
                <w:sz w:val="16"/>
              </w:rPr>
              <w:t>Course data license conflict</w:t>
            </w:r>
          </w:p>
        </w:tc>
        <w:tc>
          <w:tcPr>
            <w:tcW w:type="dxa" w:w="1152"/>
            <w:vAlign w:val="top"/>
            <w:shd w:fill="FFFFFF"/>
          </w:tcPr>
          <w:p>
            <w:pPr>
              <w:spacing w:after="0"/>
            </w:pPr>
            <w:r>
              <w:rPr>
                <w:sz w:val="16"/>
              </w:rPr>
            </w:r>
            <w:r>
              <w:rPr>
                <w:b w:val="0"/>
                <w:sz w:val="16"/>
              </w:rPr>
              <w:t>High</w:t>
            </w:r>
          </w:p>
        </w:tc>
        <w:tc>
          <w:tcPr>
            <w:tcW w:type="dxa" w:w="7056"/>
            <w:vAlign w:val="top"/>
            <w:shd w:fill="FFFFFF"/>
          </w:tcPr>
          <w:p>
            <w:pPr>
              <w:spacing w:after="0"/>
            </w:pPr>
            <w:r>
              <w:rPr>
                <w:sz w:val="16"/>
              </w:rPr>
            </w:r>
            <w:r>
              <w:rPr>
                <w:b w:val="0"/>
                <w:sz w:val="16"/>
              </w:rPr>
              <w:t>Dedicated license ADR for ODbL mixing and redistribution before publishing combined datasets.</w:t>
            </w:r>
          </w:p>
        </w:tc>
      </w:tr>
      <w:tr>
        <w:tc>
          <w:tcPr>
            <w:tcW w:type="dxa" w:w="2448"/>
            <w:vAlign w:val="top"/>
            <w:shd w:fill="FFFFFF"/>
          </w:tcPr>
          <w:p>
            <w:pPr>
              <w:spacing w:after="0"/>
            </w:pPr>
            <w:r>
              <w:rPr>
                <w:sz w:val="16"/>
              </w:rPr>
            </w:r>
            <w:r>
              <w:rPr>
                <w:b w:val="0"/>
                <w:sz w:val="16"/>
              </w:rPr>
              <w:t>Nostr relay reliability</w:t>
            </w:r>
          </w:p>
        </w:tc>
        <w:tc>
          <w:tcPr>
            <w:tcW w:type="dxa" w:w="1152"/>
            <w:vAlign w:val="top"/>
            <w:shd w:fill="FFFFFF"/>
          </w:tcPr>
          <w:p>
            <w:pPr>
              <w:spacing w:after="0"/>
            </w:pPr>
            <w:r>
              <w:rPr>
                <w:sz w:val="16"/>
              </w:rPr>
            </w:r>
            <w:r>
              <w:rPr>
                <w:b w:val="0"/>
                <w:sz w:val="16"/>
              </w:rPr>
              <w:t>Medium</w:t>
            </w:r>
          </w:p>
        </w:tc>
        <w:tc>
          <w:tcPr>
            <w:tcW w:type="dxa" w:w="7056"/>
            <w:vAlign w:val="top"/>
            <w:shd w:fill="FFFFFF"/>
          </w:tcPr>
          <w:p>
            <w:pPr>
              <w:spacing w:after="0"/>
            </w:pPr>
            <w:r>
              <w:rPr>
                <w:sz w:val="16"/>
              </w:rPr>
            </w:r>
            <w:r>
              <w:rPr>
                <w:b w:val="0"/>
                <w:sz w:val="16"/>
              </w:rPr>
              <w:t>Multiple relays, retry/backoff, local database as MVP operational source of truth.</w:t>
            </w:r>
          </w:p>
        </w:tc>
      </w:tr>
      <w:tr>
        <w:tc>
          <w:tcPr>
            <w:tcW w:type="dxa" w:w="2448"/>
            <w:vAlign w:val="top"/>
            <w:shd w:fill="FFFFFF"/>
          </w:tcPr>
          <w:p>
            <w:pPr>
              <w:spacing w:after="0"/>
            </w:pPr>
            <w:r>
              <w:rPr>
                <w:sz w:val="16"/>
              </w:rPr>
            </w:r>
            <w:r>
              <w:rPr>
                <w:b w:val="0"/>
                <w:sz w:val="16"/>
              </w:rPr>
              <w:t>NWC wallet fragmentation</w:t>
            </w:r>
          </w:p>
        </w:tc>
        <w:tc>
          <w:tcPr>
            <w:tcW w:type="dxa" w:w="1152"/>
            <w:vAlign w:val="top"/>
            <w:shd w:fill="FFFFFF"/>
          </w:tcPr>
          <w:p>
            <w:pPr>
              <w:spacing w:after="0"/>
            </w:pPr>
            <w:r>
              <w:rPr>
                <w:sz w:val="16"/>
              </w:rPr>
            </w:r>
            <w:r>
              <w:rPr>
                <w:b w:val="0"/>
                <w:sz w:val="16"/>
              </w:rPr>
              <w:t>Medium</w:t>
            </w:r>
          </w:p>
        </w:tc>
        <w:tc>
          <w:tcPr>
            <w:tcW w:type="dxa" w:w="7056"/>
            <w:vAlign w:val="top"/>
            <w:shd w:fill="FFFFFF"/>
          </w:tcPr>
          <w:p>
            <w:pPr>
              <w:spacing w:after="0"/>
            </w:pPr>
            <w:r>
              <w:rPr>
                <w:sz w:val="16"/>
              </w:rPr>
            </w:r>
            <w:r>
              <w:rPr>
                <w:b w:val="0"/>
                <w:sz w:val="16"/>
              </w:rPr>
              <w:t>NWC primary plus WebLN/BTCPay fallbacks. Test reference wallets early.</w:t>
            </w:r>
          </w:p>
        </w:tc>
      </w:tr>
      <w:tr>
        <w:tc>
          <w:tcPr>
            <w:tcW w:type="dxa" w:w="2448"/>
            <w:vAlign w:val="top"/>
            <w:shd w:fill="FFFFFF"/>
          </w:tcPr>
          <w:p>
            <w:pPr>
              <w:spacing w:after="0"/>
            </w:pPr>
            <w:r>
              <w:rPr>
                <w:sz w:val="16"/>
              </w:rPr>
            </w:r>
            <w:r>
              <w:rPr>
                <w:b w:val="0"/>
                <w:sz w:val="16"/>
              </w:rPr>
              <w:t>Payment state ambiguity</w:t>
            </w:r>
          </w:p>
        </w:tc>
        <w:tc>
          <w:tcPr>
            <w:tcW w:type="dxa" w:w="1152"/>
            <w:vAlign w:val="top"/>
            <w:shd w:fill="FFFFFF"/>
          </w:tcPr>
          <w:p>
            <w:pPr>
              <w:spacing w:after="0"/>
            </w:pPr>
            <w:r>
              <w:rPr>
                <w:sz w:val="16"/>
              </w:rPr>
            </w:r>
            <w:r>
              <w:rPr>
                <w:b w:val="0"/>
                <w:sz w:val="16"/>
              </w:rPr>
              <w:t>Medium</w:t>
            </w:r>
          </w:p>
        </w:tc>
        <w:tc>
          <w:tcPr>
            <w:tcW w:type="dxa" w:w="7056"/>
            <w:vAlign w:val="top"/>
            <w:shd w:fill="FFFFFF"/>
          </w:tcPr>
          <w:p>
            <w:pPr>
              <w:spacing w:after="0"/>
            </w:pPr>
            <w:r>
              <w:rPr>
                <w:sz w:val="16"/>
              </w:rPr>
            </w:r>
            <w:r>
              <w:rPr>
                <w:b w:val="0"/>
                <w:sz w:val="16"/>
              </w:rPr>
              <w:t>Idempotent webhooks, invoice reconciliation, manual review states, clear user feedback.</w:t>
            </w:r>
          </w:p>
        </w:tc>
      </w:tr>
      <w:tr>
        <w:tc>
          <w:tcPr>
            <w:tcW w:type="dxa" w:w="2448"/>
            <w:vAlign w:val="top"/>
            <w:shd w:fill="FFFFFF"/>
          </w:tcPr>
          <w:p>
            <w:pPr>
              <w:spacing w:after="0"/>
            </w:pPr>
            <w:r>
              <w:rPr>
                <w:sz w:val="16"/>
              </w:rPr>
            </w:r>
            <w:r>
              <w:rPr>
                <w:b w:val="0"/>
                <w:sz w:val="16"/>
              </w:rPr>
              <w:t>Offline score sync bugs</w:t>
            </w:r>
          </w:p>
        </w:tc>
        <w:tc>
          <w:tcPr>
            <w:tcW w:type="dxa" w:w="1152"/>
            <w:vAlign w:val="top"/>
            <w:shd w:fill="FFFFFF"/>
          </w:tcPr>
          <w:p>
            <w:pPr>
              <w:spacing w:after="0"/>
            </w:pPr>
            <w:r>
              <w:rPr>
                <w:sz w:val="16"/>
              </w:rPr>
            </w:r>
            <w:r>
              <w:rPr>
                <w:b w:val="0"/>
                <w:sz w:val="16"/>
              </w:rPr>
              <w:t>High</w:t>
            </w:r>
          </w:p>
        </w:tc>
        <w:tc>
          <w:tcPr>
            <w:tcW w:type="dxa" w:w="7056"/>
            <w:vAlign w:val="top"/>
            <w:shd w:fill="FFFFFF"/>
          </w:tcPr>
          <w:p>
            <w:pPr>
              <w:spacing w:after="0"/>
            </w:pPr>
            <w:r>
              <w:rPr>
                <w:sz w:val="16"/>
              </w:rPr>
            </w:r>
            <w:r>
              <w:rPr>
                <w:b w:val="0"/>
                <w:sz w:val="16"/>
              </w:rPr>
              <w:t>Test with real course connectivity conditions and force sync failure scenarios.</w:t>
            </w:r>
          </w:p>
        </w:tc>
      </w:tr>
      <w:tr>
        <w:tc>
          <w:tcPr>
            <w:tcW w:type="dxa" w:w="2448"/>
            <w:vAlign w:val="top"/>
            <w:shd w:fill="FFFFFF"/>
          </w:tcPr>
          <w:p>
            <w:pPr>
              <w:spacing w:after="0"/>
            </w:pPr>
            <w:r>
              <w:rPr>
                <w:sz w:val="16"/>
              </w:rPr>
            </w:r>
            <w:r>
              <w:rPr>
                <w:b w:val="0"/>
                <w:sz w:val="16"/>
              </w:rPr>
              <w:t>Score fraud/collusion</w:t>
            </w:r>
          </w:p>
        </w:tc>
        <w:tc>
          <w:tcPr>
            <w:tcW w:type="dxa" w:w="1152"/>
            <w:vAlign w:val="top"/>
            <w:shd w:fill="FFFFFF"/>
          </w:tcPr>
          <w:p>
            <w:pPr>
              <w:spacing w:after="0"/>
            </w:pPr>
            <w:r>
              <w:rPr>
                <w:sz w:val="16"/>
              </w:rPr>
            </w:r>
            <w:r>
              <w:rPr>
                <w:b w:val="0"/>
                <w:sz w:val="16"/>
              </w:rPr>
              <w:t>Medium</w:t>
            </w:r>
          </w:p>
        </w:tc>
        <w:tc>
          <w:tcPr>
            <w:tcW w:type="dxa" w:w="7056"/>
            <w:vAlign w:val="top"/>
            <w:shd w:fill="FFFFFF"/>
          </w:tcPr>
          <w:p>
            <w:pPr>
              <w:spacing w:after="0"/>
            </w:pPr>
            <w:r>
              <w:rPr>
                <w:sz w:val="16"/>
              </w:rPr>
            </w:r>
            <w:r>
              <w:rPr>
                <w:b w:val="0"/>
                <w:sz w:val="16"/>
              </w:rPr>
              <w:t>Marker/organizer review, signed attestations, audit logs, disputes, eventual reputation.</w:t>
            </w:r>
          </w:p>
        </w:tc>
      </w:tr>
      <w:tr>
        <w:tc>
          <w:tcPr>
            <w:tcW w:type="dxa" w:w="2448"/>
            <w:vAlign w:val="top"/>
            <w:shd w:fill="FFFFFF"/>
          </w:tcPr>
          <w:p>
            <w:pPr>
              <w:spacing w:after="0"/>
            </w:pPr>
            <w:r>
              <w:rPr>
                <w:sz w:val="16"/>
              </w:rPr>
            </w:r>
            <w:r>
              <w:rPr>
                <w:b w:val="0"/>
                <w:sz w:val="16"/>
              </w:rPr>
              <w:t>Scope creep</w:t>
            </w:r>
          </w:p>
        </w:tc>
        <w:tc>
          <w:tcPr>
            <w:tcW w:type="dxa" w:w="1152"/>
            <w:vAlign w:val="top"/>
            <w:shd w:fill="FFFFFF"/>
          </w:tcPr>
          <w:p>
            <w:pPr>
              <w:spacing w:after="0"/>
            </w:pPr>
            <w:r>
              <w:rPr>
                <w:sz w:val="16"/>
              </w:rPr>
            </w:r>
            <w:r>
              <w:rPr>
                <w:b w:val="0"/>
                <w:sz w:val="16"/>
              </w:rPr>
              <w:t>High</w:t>
            </w:r>
          </w:p>
        </w:tc>
        <w:tc>
          <w:tcPr>
            <w:tcW w:type="dxa" w:w="7056"/>
            <w:vAlign w:val="top"/>
            <w:shd w:fill="FFFFFF"/>
          </w:tcPr>
          <w:p>
            <w:pPr>
              <w:spacing w:after="0"/>
            </w:pPr>
            <w:r>
              <w:rPr>
                <w:sz w:val="16"/>
              </w:rPr>
            </w:r>
            <w:r>
              <w:rPr>
                <w:b w:val="0"/>
                <w:sz w:val="16"/>
              </w:rPr>
              <w:t>Protect MVP loop. Push rewards, badges, zaps, and course ratings into MVP+ if core loop is not stable.</w:t>
            </w:r>
          </w:p>
        </w:tc>
      </w:tr>
      <w:tr>
        <w:tc>
          <w:tcPr>
            <w:tcW w:type="dxa" w:w="2448"/>
            <w:vAlign w:val="top"/>
            <w:shd w:fill="FFFFFF"/>
          </w:tcPr>
          <w:p>
            <w:pPr>
              <w:spacing w:after="0"/>
            </w:pPr>
            <w:r>
              <w:rPr>
                <w:sz w:val="16"/>
              </w:rPr>
            </w:r>
            <w:r>
              <w:rPr>
                <w:b w:val="0"/>
                <w:sz w:val="16"/>
              </w:rPr>
              <w:t>Regulatory exposure</w:t>
            </w:r>
          </w:p>
        </w:tc>
        <w:tc>
          <w:tcPr>
            <w:tcW w:type="dxa" w:w="1152"/>
            <w:vAlign w:val="top"/>
            <w:shd w:fill="FFFFFF"/>
          </w:tcPr>
          <w:p>
            <w:pPr>
              <w:spacing w:after="0"/>
            </w:pPr>
            <w:r>
              <w:rPr>
                <w:sz w:val="16"/>
              </w:rPr>
            </w:r>
            <w:r>
              <w:rPr>
                <w:b w:val="0"/>
                <w:sz w:val="16"/>
              </w:rPr>
              <w:t>High</w:t>
            </w:r>
          </w:p>
        </w:tc>
        <w:tc>
          <w:tcPr>
            <w:tcW w:type="dxa" w:w="7056"/>
            <w:vAlign w:val="top"/>
            <w:shd w:fill="FFFFFF"/>
          </w:tcPr>
          <w:p>
            <w:pPr>
              <w:spacing w:after="0"/>
            </w:pPr>
            <w:r>
              <w:rPr>
                <w:sz w:val="16"/>
              </w:rPr>
            </w:r>
            <w:r>
              <w:rPr>
                <w:b w:val="0"/>
                <w:sz w:val="16"/>
              </w:rPr>
              <w:t>Betting/prediction markets excluded. Sats rewards require legal/tax gate.</w:t>
            </w:r>
          </w:p>
        </w:tc>
      </w:tr>
      <w:tr>
        <w:tc>
          <w:tcPr>
            <w:tcW w:type="dxa" w:w="2448"/>
            <w:vAlign w:val="top"/>
            <w:shd w:fill="FFFFFF"/>
          </w:tcPr>
          <w:p>
            <w:pPr>
              <w:spacing w:after="0"/>
            </w:pPr>
            <w:r>
              <w:rPr>
                <w:sz w:val="16"/>
              </w:rPr>
            </w:r>
            <w:r>
              <w:rPr>
                <w:b w:val="0"/>
                <w:sz w:val="16"/>
              </w:rPr>
              <w:t>Sponsor lock-in</w:t>
            </w:r>
          </w:p>
        </w:tc>
        <w:tc>
          <w:tcPr>
            <w:tcW w:type="dxa" w:w="1152"/>
            <w:vAlign w:val="top"/>
            <w:shd w:fill="FFFFFF"/>
          </w:tcPr>
          <w:p>
            <w:pPr>
              <w:spacing w:after="0"/>
            </w:pPr>
            <w:r>
              <w:rPr>
                <w:sz w:val="16"/>
              </w:rPr>
            </w:r>
            <w:r>
              <w:rPr>
                <w:b w:val="0"/>
                <w:sz w:val="16"/>
              </w:rPr>
              <w:t>Medium</w:t>
            </w:r>
          </w:p>
        </w:tc>
        <w:tc>
          <w:tcPr>
            <w:tcW w:type="dxa" w:w="7056"/>
            <w:vAlign w:val="top"/>
            <w:shd w:fill="FFFFFF"/>
          </w:tcPr>
          <w:p>
            <w:pPr>
              <w:spacing w:after="0"/>
            </w:pPr>
            <w:r>
              <w:rPr>
                <w:sz w:val="16"/>
              </w:rPr>
            </w:r>
            <w:r>
              <w:rPr>
                <w:b w:val="0"/>
                <w:sz w:val="16"/>
              </w:rPr>
              <w:t>Use replaceable adapters and preserve self-hosting/open-source fallback.</w:t>
            </w:r>
          </w:p>
        </w:tc>
      </w:tr>
      <w:tr>
        <w:tc>
          <w:tcPr>
            <w:tcW w:type="dxa" w:w="3456"/>
            <w:shd w:fill="FFFFFF"/>
          </w:tcPr>
          <w:p>
            <w:pPr/>
            <w:r>
              <w:rPr>
                <w:sz w:val="16"/>
              </w:rPr>
              <w:t>Signer onboarding friction</w:t>
            </w:r>
          </w:p>
        </w:tc>
        <w:tc>
          <w:tcPr>
            <w:tcW w:type="dxa" w:w="3456"/>
            <w:shd w:fill="FFFFFF"/>
          </w:tcPr>
          <w:p>
            <w:pPr/>
            <w:r>
              <w:rPr>
                <w:sz w:val="16"/>
              </w:rPr>
              <w:t>High</w:t>
            </w:r>
          </w:p>
        </w:tc>
        <w:tc>
          <w:tcPr>
            <w:tcW w:type="dxa" w:w="3456"/>
            <w:shd w:fill="FFFFFF"/>
          </w:tcPr>
          <w:p>
            <w:pPr/>
            <w:r>
              <w:rPr>
                <w:sz w:val="16"/>
              </w:rPr>
              <w:t>Keep guest mode open, show signer gates only at meaningful actions, guide iOS/iPadOS Safari users to Nostash, detect window.nostr, test Home Screen PWA behavior, and keep NIP-46/NIP-55 fallback options behind adapters.</w:t>
            </w:r>
          </w:p>
        </w:tc>
      </w:tr>
    </w:tbl>
    <w:p/>
    <w:p>
      <w:pPr>
        <w:pStyle w:val="Heading2"/>
        <w:keepNext/>
      </w:pPr>
      <w:r>
        <w:t>Open decisions for immediate review</w:t>
      </w:r>
    </w:p>
    <w:p>
      <w:pPr>
        <w:spacing w:after="40"/>
        <w:ind w:left="403" w:hanging="403"/>
      </w:pPr>
      <w:r>
        <w:rPr>
          <w:sz w:val="18"/>
        </w:rPr>
        <w:t>1.  Which ADRs 0011-0022 can be accepted unchanged, and which need revision?</w:t>
      </w:r>
    </w:p>
    <w:p>
      <w:pPr>
        <w:spacing w:after="40"/>
        <w:ind w:left="403" w:hanging="403"/>
      </w:pPr>
      <w:r>
        <w:rPr>
          <w:sz w:val="18"/>
        </w:rPr>
        <w:t>2.  Should the repository be a monorepo, split frontend/backend apps, or separate repos?</w:t>
      </w:r>
    </w:p>
    <w:p>
      <w:pPr>
        <w:spacing w:after="40"/>
        <w:ind w:left="403" w:hanging="403"/>
      </w:pPr>
      <w:r>
        <w:rPr>
          <w:sz w:val="18"/>
        </w:rPr>
        <w:t>3.  What is the first event scoring format, and which score fields are truly required for MVP?</w:t>
      </w:r>
    </w:p>
    <w:p>
      <w:pPr>
        <w:spacing w:after="40"/>
        <w:ind w:left="403" w:hanging="403"/>
      </w:pPr>
      <w:r>
        <w:rPr>
          <w:sz w:val="18"/>
        </w:rPr>
        <w:t>4.  Confirm the MVP signer path: NIP-07 first, Nostash guided default for iOS/iPadOS Safari, signed auth challenge for sessions, and NIP-46/NIP-55 as staged fallback options.</w:t>
      </w:r>
    </w:p>
    <w:p>
      <w:pPr>
        <w:spacing w:after="40"/>
        <w:ind w:left="403" w:hanging="403"/>
      </w:pPr>
      <w:r>
        <w:rPr>
          <w:sz w:val="18"/>
        </w:rPr>
        <w:t>5.  Which wallet flows are MVP: BTCPay invoice only, NWC payment from connected wallet, WebLN fallback, or all behind adapters?</w:t>
      </w:r>
    </w:p>
    <w:p>
      <w:pPr>
        <w:spacing w:after="40"/>
        <w:ind w:left="403" w:hanging="403"/>
      </w:pPr>
      <w:r>
        <w:rPr>
          <w:sz w:val="18"/>
        </w:rPr>
        <w:t>6.  What regions are used for the first course-data benchmark: US, Germany, Czech Republic, El Salvador?</w:t>
      </w:r>
    </w:p>
    <w:p>
      <w:pPr>
        <w:spacing w:after="40"/>
        <w:ind w:left="403" w:hanging="403"/>
      </w:pPr>
      <w:r>
        <w:rPr>
          <w:sz w:val="18"/>
        </w:rPr>
        <w:t>7.  What contributor terms are required for user-submitted course corrections to become redistributable open data?</w:t>
      </w:r>
    </w:p>
    <w:p>
      <w:pPr>
        <w:spacing w:after="40"/>
        <w:ind w:left="403" w:hanging="403"/>
      </w:pPr>
      <w:r>
        <w:rPr>
          <w:sz w:val="18"/>
        </w:rPr>
        <w:t>8.  Which CI checks become hard failures before feature work starts?</w:t>
      </w:r>
    </w:p>
    <w:p>
      <w:pPr>
        <w:pStyle w:val="Heading2"/>
        <w:keepNext/>
      </w:pPr>
      <w:r>
        <w:t>Recommended next actions</w:t>
      </w:r>
    </w:p>
    <w:p>
      <w:pPr>
        <w:spacing w:after="40"/>
        <w:ind w:left="403" w:hanging="403"/>
      </w:pPr>
      <w:r>
        <w:rPr>
          <w:sz w:val="18"/>
        </w:rPr>
        <w:t>1.  Commit or reconcile the generated repository assets: README, CONTRIBUTING, CODE_OF_CONDUCT, SECURITY, SUPPORT, issue templates, PR template, ADRs, data registry, CI skeleton.</w:t>
      </w:r>
    </w:p>
    <w:p>
      <w:pPr>
        <w:spacing w:after="40"/>
        <w:ind w:left="403" w:hanging="403"/>
      </w:pPr>
      <w:r>
        <w:rPr>
          <w:sz w:val="18"/>
        </w:rPr>
        <w:t>2.  Review ADRs 0011-0022 in one architecture session and mark each Accepted, Proposed with changes, or Rejected/Superseded.</w:t>
      </w:r>
    </w:p>
    <w:p>
      <w:pPr>
        <w:spacing w:after="40"/>
        <w:ind w:left="403" w:hanging="403"/>
      </w:pPr>
      <w:r>
        <w:rPr>
          <w:sz w:val="18"/>
        </w:rPr>
        <w:t>3.  Fix or confirm GitHub CLI authentication in WSL and import the generated issues/labels/milestones if not already done.</w:t>
      </w:r>
    </w:p>
    <w:p>
      <w:pPr>
        <w:spacing w:after="40"/>
        <w:ind w:left="403" w:hanging="403"/>
      </w:pPr>
      <w:r>
        <w:rPr>
          <w:sz w:val="18"/>
        </w:rPr>
        <w:t>4.  Initialize the backend/frontend structure only after stack ADRs are accepted or explicitly staged.</w:t>
      </w:r>
    </w:p>
    <w:p>
      <w:pPr>
        <w:spacing w:after="40"/>
        <w:ind w:left="403" w:hanging="403"/>
      </w:pPr>
      <w:r>
        <w:rPr>
          <w:sz w:val="18"/>
        </w:rPr>
        <w:t>5.  Replace CI placeholders with real formatter/linter/test/dependency inventory commands.</w:t>
      </w:r>
    </w:p>
    <w:p>
      <w:pPr>
        <w:spacing w:after="40"/>
        <w:ind w:left="403" w:hanging="403"/>
      </w:pPr>
      <w:r>
        <w:rPr>
          <w:sz w:val="18"/>
        </w:rPr>
        <w:t>6.  Start Sprint 1 with the smallest usable identity-registration slice, including guest-first entry and signer-gated participation.</w:t>
      </w:r>
    </w:p>
    <w:p>
      <w:pPr/>
      <w:r>
        <w:rPr>
          <w:sz w:val="18"/>
        </w:rPr>
        <w:t>7.  Add signer detection, Nostash onboarding copy, iOS Safari versus Home Screen PWA tests, signed auth challenge verification, and feature gates to the Sprint 1 acceptance criteria.</w:t>
      </w:r>
    </w:p>
    <w:p>
      <w:pPr>
        <w:pStyle w:val="Heading1"/>
        <w:keepNext/>
      </w:pPr>
      <w:r>
        <w:t>18. Project artifact register</w:t>
      </w:r>
    </w:p>
    <w:p>
      <w:r>
        <w:rPr>
          <w:sz w:val="18"/>
        </w:rPr>
        <w:t>This register reflects artifacts created during planning and scaffolding. It should be reconciled against the live repository so the foundation document does not claim files exist in main if they are only local generated artifacts.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shd w:fill="4B1D83"/>
            <w:vAlign w:val="center"/>
          </w:tcPr>
          <w:p>
            <w:pPr>
              <w:spacing w:after="0"/>
            </w:pPr>
            <w:r>
              <w:rPr>
                <w:b/>
                <w:color w:val="FFFFFF"/>
                <w:sz w:val="16"/>
              </w:rPr>
            </w:r>
            <w:r>
              <w:rPr>
                <w:b/>
                <w:color w:val="FFFFFF"/>
                <w:sz w:val="16"/>
              </w:rPr>
              <w:t>Artifact</w:t>
            </w:r>
          </w:p>
        </w:tc>
        <w:tc>
          <w:tcPr>
            <w:tcW w:type="dxa" w:w="2016"/>
            <w:shd w:fill="4B1D83"/>
            <w:vAlign w:val="center"/>
          </w:tcPr>
          <w:p>
            <w:pPr>
              <w:spacing w:after="0"/>
            </w:pPr>
            <w:r>
              <w:rPr>
                <w:b/>
                <w:color w:val="FFFFFF"/>
                <w:sz w:val="16"/>
              </w:rPr>
            </w:r>
            <w:r>
              <w:rPr>
                <w:b/>
                <w:color w:val="FFFFFF"/>
                <w:sz w:val="16"/>
              </w:rPr>
              <w:t>Status</w:t>
            </w:r>
          </w:p>
        </w:tc>
        <w:tc>
          <w:tcPr>
            <w:tcW w:type="dxa" w:w="5760"/>
            <w:shd w:fill="4B1D83"/>
            <w:vAlign w:val="center"/>
          </w:tcPr>
          <w:p>
            <w:pPr>
              <w:spacing w:after="0"/>
            </w:pPr>
            <w:r>
              <w:rPr>
                <w:b/>
                <w:color w:val="FFFFFF"/>
                <w:sz w:val="16"/>
              </w:rPr>
            </w:r>
            <w:r>
              <w:rPr>
                <w:b/>
                <w:color w:val="FFFFFF"/>
                <w:sz w:val="16"/>
              </w:rPr>
              <w:t>Purpose</w:t>
            </w:r>
          </w:p>
        </w:tc>
      </w:tr>
      <w:tr>
        <w:tc>
          <w:tcPr>
            <w:tcW w:type="dxa" w:w="2880"/>
            <w:vAlign w:val="top"/>
            <w:shd w:fill="FFFFFF"/>
          </w:tcPr>
          <w:p>
            <w:pPr>
              <w:spacing w:after="0"/>
            </w:pPr>
            <w:r>
              <w:rPr>
                <w:sz w:val="16"/>
              </w:rPr>
            </w:r>
            <w:r>
              <w:rPr>
                <w:b w:val="0"/>
                <w:sz w:val="16"/>
              </w:rPr>
              <w:t>Foundation document v0.3</w:t>
            </w:r>
          </w:p>
        </w:tc>
        <w:tc>
          <w:tcPr>
            <w:tcW w:type="dxa" w:w="2016"/>
            <w:vAlign w:val="top"/>
            <w:shd w:fill="FFFFFF"/>
          </w:tcPr>
          <w:p>
            <w:pPr>
              <w:spacing w:after="0"/>
            </w:pPr>
            <w:r>
              <w:rPr>
                <w:sz w:val="16"/>
              </w:rPr>
            </w:r>
            <w:r>
              <w:rPr>
                <w:b w:val="0"/>
                <w:sz w:val="16"/>
              </w:rPr>
              <w:t>Source input</w:t>
            </w:r>
          </w:p>
        </w:tc>
        <w:tc>
          <w:tcPr>
            <w:tcW w:type="dxa" w:w="5760"/>
            <w:vAlign w:val="top"/>
            <w:shd w:fill="FFFFFF"/>
          </w:tcPr>
          <w:p>
            <w:pPr>
              <w:spacing w:after="0"/>
            </w:pPr>
            <w:r>
              <w:rPr>
                <w:sz w:val="16"/>
              </w:rPr>
            </w:r>
            <w:r>
              <w:rPr>
                <w:b w:val="0"/>
                <w:sz w:val="16"/>
              </w:rPr>
              <w:t>Previous planning source; replaced by this v0.4 current-state update.</w:t>
            </w:r>
          </w:p>
        </w:tc>
      </w:tr>
      <w:tr>
        <w:tc>
          <w:tcPr>
            <w:tcW w:type="dxa" w:w="2880"/>
            <w:vAlign w:val="top"/>
            <w:shd w:fill="FFFFFF"/>
          </w:tcPr>
          <w:p>
            <w:pPr>
              <w:spacing w:after="0"/>
            </w:pPr>
            <w:r>
              <w:rPr>
                <w:sz w:val="16"/>
              </w:rPr>
            </w:r>
            <w:r>
              <w:rPr>
                <w:b w:val="0"/>
                <w:sz w:val="16"/>
              </w:rPr>
              <w:t>Foundation document v0.4</w:t>
            </w:r>
          </w:p>
        </w:tc>
        <w:tc>
          <w:tcPr>
            <w:tcW w:type="dxa" w:w="2016"/>
            <w:vAlign w:val="top"/>
            <w:shd w:fill="FFFFFF"/>
          </w:tcPr>
          <w:p>
            <w:pPr/>
            <w:r>
              <w:rPr>
                <w:sz w:val="16"/>
              </w:rPr>
              <w:t>Updated</w:t>
            </w:r>
          </w:p>
        </w:tc>
        <w:tc>
          <w:tcPr>
            <w:tcW w:type="dxa" w:w="5760"/>
            <w:vAlign w:val="top"/>
            <w:shd w:fill="FFFFFF"/>
          </w:tcPr>
          <w:p>
            <w:pPr/>
            <w:r>
              <w:rPr>
                <w:sz w:val="16"/>
              </w:rPr>
              <w:t>Current project-state foundation document, now including Nostash/NIP-07 normie onboarding and signer abstraction direction.</w:t>
            </w:r>
          </w:p>
        </w:tc>
      </w:tr>
      <w:tr>
        <w:tc>
          <w:tcPr>
            <w:tcW w:type="dxa" w:w="2880"/>
            <w:vAlign w:val="top"/>
            <w:shd w:fill="FFFFFF"/>
          </w:tcPr>
          <w:p>
            <w:pPr>
              <w:spacing w:after="0"/>
            </w:pPr>
            <w:r>
              <w:rPr>
                <w:sz w:val="16"/>
              </w:rPr>
            </w:r>
            <w:r>
              <w:rPr>
                <w:b w:val="0"/>
                <w:sz w:val="16"/>
              </w:rPr>
              <w:t>Pitch deck</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Contributor/sponsor explanation of Ride or Die Scorecard with comic visuals.</w:t>
            </w:r>
          </w:p>
        </w:tc>
      </w:tr>
      <w:tr>
        <w:tc>
          <w:tcPr>
            <w:tcW w:type="dxa" w:w="2880"/>
            <w:vAlign w:val="top"/>
            <w:shd w:fill="FFFFFF"/>
          </w:tcPr>
          <w:p>
            <w:pPr>
              <w:spacing w:after="0"/>
            </w:pPr>
            <w:r>
              <w:rPr>
                <w:sz w:val="16"/>
              </w:rPr>
            </w:r>
            <w:r>
              <w:rPr>
                <w:b w:val="0"/>
                <w:sz w:val="16"/>
              </w:rPr>
              <w:t>README.md</w:t>
            </w:r>
          </w:p>
        </w:tc>
        <w:tc>
          <w:tcPr>
            <w:tcW w:type="dxa" w:w="2016"/>
            <w:vAlign w:val="top"/>
            <w:shd w:fill="FFFFFF"/>
          </w:tcPr>
          <w:p>
            <w:pPr>
              <w:spacing w:after="0"/>
            </w:pPr>
            <w:r>
              <w:rPr>
                <w:sz w:val="16"/>
              </w:rPr>
            </w:r>
            <w:r>
              <w:rPr>
                <w:b w:val="0"/>
                <w:sz w:val="16"/>
              </w:rPr>
              <w:t>Created/updated</w:t>
            </w:r>
          </w:p>
        </w:tc>
        <w:tc>
          <w:tcPr>
            <w:tcW w:type="dxa" w:w="5760"/>
            <w:vAlign w:val="top"/>
            <w:shd w:fill="FFFFFF"/>
          </w:tcPr>
          <w:p>
            <w:pPr>
              <w:spacing w:after="0"/>
            </w:pPr>
            <w:r>
              <w:rPr>
                <w:sz w:val="16"/>
              </w:rPr>
            </w:r>
            <w:r>
              <w:rPr>
                <w:b w:val="0"/>
                <w:sz w:val="16"/>
              </w:rPr>
              <w:t>Project thesis, MVP definition, ADR process links, setup direction.</w:t>
            </w:r>
          </w:p>
        </w:tc>
      </w:tr>
      <w:tr>
        <w:tc>
          <w:tcPr>
            <w:tcW w:type="dxa" w:w="2880"/>
            <w:vAlign w:val="top"/>
            <w:shd w:fill="FFFFFF"/>
          </w:tcPr>
          <w:p>
            <w:pPr>
              <w:spacing w:after="0"/>
            </w:pPr>
            <w:r>
              <w:rPr>
                <w:sz w:val="16"/>
              </w:rPr>
            </w:r>
            <w:r>
              <w:rPr>
                <w:b w:val="0"/>
                <w:sz w:val="16"/>
              </w:rPr>
              <w:t>CONTRIBUTING.md</w:t>
            </w:r>
          </w:p>
        </w:tc>
        <w:tc>
          <w:tcPr>
            <w:tcW w:type="dxa" w:w="2016"/>
            <w:vAlign w:val="top"/>
            <w:shd w:fill="FFFFFF"/>
          </w:tcPr>
          <w:p>
            <w:pPr>
              <w:spacing w:after="0"/>
            </w:pPr>
            <w:r>
              <w:rPr>
                <w:sz w:val="16"/>
              </w:rPr>
            </w:r>
            <w:r>
              <w:rPr>
                <w:b w:val="0"/>
                <w:sz w:val="16"/>
              </w:rPr>
              <w:t>Created/updated</w:t>
            </w:r>
          </w:p>
        </w:tc>
        <w:tc>
          <w:tcPr>
            <w:tcW w:type="dxa" w:w="5760"/>
            <w:vAlign w:val="top"/>
            <w:shd w:fill="FFFFFF"/>
          </w:tcPr>
          <w:p>
            <w:pPr>
              <w:spacing w:after="0"/>
            </w:pPr>
            <w:r>
              <w:rPr>
                <w:sz w:val="16"/>
              </w:rPr>
            </w:r>
            <w:r>
              <w:rPr>
                <w:b w:val="0"/>
                <w:sz w:val="16"/>
              </w:rPr>
              <w:t>Contribution workflow, WSL notes, issue/PR process, review gates.</w:t>
            </w:r>
          </w:p>
        </w:tc>
      </w:tr>
      <w:tr>
        <w:tc>
          <w:tcPr>
            <w:tcW w:type="dxa" w:w="2880"/>
            <w:vAlign w:val="top"/>
            <w:shd w:fill="FFFFFF"/>
          </w:tcPr>
          <w:p>
            <w:pPr>
              <w:spacing w:after="0"/>
            </w:pPr>
            <w:r>
              <w:rPr>
                <w:sz w:val="16"/>
              </w:rPr>
            </w:r>
            <w:r>
              <w:rPr>
                <w:b w:val="0"/>
                <w:sz w:val="16"/>
              </w:rPr>
              <w:t>CODE_OF_CONDUCT.md</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Contributor behavior baseline.</w:t>
            </w:r>
          </w:p>
        </w:tc>
      </w:tr>
      <w:tr>
        <w:tc>
          <w:tcPr>
            <w:tcW w:type="dxa" w:w="2880"/>
            <w:vAlign w:val="top"/>
            <w:shd w:fill="FFFFFF"/>
          </w:tcPr>
          <w:p>
            <w:pPr>
              <w:spacing w:after="0"/>
            </w:pPr>
            <w:r>
              <w:rPr>
                <w:sz w:val="16"/>
              </w:rPr>
            </w:r>
            <w:r>
              <w:rPr>
                <w:b w:val="0"/>
                <w:sz w:val="16"/>
              </w:rPr>
              <w:t>SECURITY.md</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Security reporting and high-risk areas.</w:t>
            </w:r>
          </w:p>
        </w:tc>
      </w:tr>
      <w:tr>
        <w:tc>
          <w:tcPr>
            <w:tcW w:type="dxa" w:w="2880"/>
            <w:vAlign w:val="top"/>
            <w:shd w:fill="FFFFFF"/>
          </w:tcPr>
          <w:p>
            <w:pPr>
              <w:spacing w:after="0"/>
            </w:pPr>
            <w:r>
              <w:rPr>
                <w:sz w:val="16"/>
              </w:rPr>
            </w:r>
            <w:r>
              <w:rPr>
                <w:b w:val="0"/>
                <w:sz w:val="16"/>
              </w:rPr>
              <w:t>SUPPORT.md</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Support expectations.</w:t>
            </w:r>
          </w:p>
        </w:tc>
      </w:tr>
      <w:tr>
        <w:tc>
          <w:tcPr>
            <w:tcW w:type="dxa" w:w="2880"/>
            <w:vAlign w:val="top"/>
            <w:shd w:fill="FFFFFF"/>
          </w:tcPr>
          <w:p>
            <w:pPr>
              <w:spacing w:after="0"/>
            </w:pPr>
            <w:r>
              <w:rPr>
                <w:sz w:val="16"/>
              </w:rPr>
            </w:r>
            <w:r>
              <w:rPr>
                <w:b w:val="0"/>
                <w:sz w:val="16"/>
              </w:rPr>
              <w:t>Issue templates</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Feature, bug, security, license review, UX review.</w:t>
            </w:r>
          </w:p>
        </w:tc>
      </w:tr>
      <w:tr>
        <w:tc>
          <w:tcPr>
            <w:tcW w:type="dxa" w:w="2880"/>
            <w:vAlign w:val="top"/>
            <w:shd w:fill="FFFFFF"/>
          </w:tcPr>
          <w:p>
            <w:pPr>
              <w:spacing w:after="0"/>
            </w:pPr>
            <w:r>
              <w:rPr>
                <w:sz w:val="16"/>
              </w:rPr>
            </w:r>
            <w:r>
              <w:rPr>
                <w:b w:val="0"/>
                <w:sz w:val="16"/>
              </w:rPr>
              <w:t>PR template</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PR checklist with license-review and security-review checkboxes.</w:t>
            </w:r>
          </w:p>
        </w:tc>
      </w:tr>
      <w:tr>
        <w:tc>
          <w:tcPr>
            <w:tcW w:type="dxa" w:w="2880"/>
            <w:vAlign w:val="top"/>
            <w:shd w:fill="FFFFFF"/>
          </w:tcPr>
          <w:p>
            <w:pPr>
              <w:spacing w:after="0"/>
            </w:pPr>
            <w:r>
              <w:rPr>
                <w:sz w:val="16"/>
              </w:rPr>
            </w:r>
            <w:r>
              <w:rPr>
                <w:b w:val="0"/>
                <w:sz w:val="16"/>
              </w:rPr>
              <w:t>ADR template</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Context, decision, alternatives, trade-offs, license/security review, rollback plan.</w:t>
            </w:r>
          </w:p>
        </w:tc>
      </w:tr>
      <w:tr>
        <w:tc>
          <w:tcPr>
            <w:tcW w:type="dxa" w:w="2880"/>
            <w:vAlign w:val="top"/>
            <w:shd w:fill="FFFFFF"/>
          </w:tcPr>
          <w:p>
            <w:pPr>
              <w:spacing w:after="0"/>
            </w:pPr>
            <w:r>
              <w:rPr>
                <w:sz w:val="16"/>
              </w:rPr>
            </w:r>
            <w:r>
              <w:rPr>
                <w:b w:val="0"/>
                <w:sz w:val="16"/>
              </w:rPr>
              <w:t>ADR index</w:t>
            </w:r>
          </w:p>
        </w:tc>
        <w:tc>
          <w:tcPr>
            <w:tcW w:type="dxa" w:w="2016"/>
            <w:vAlign w:val="top"/>
            <w:shd w:fill="FFFFFF"/>
          </w:tcPr>
          <w:p>
            <w:pPr>
              <w:spacing w:after="0"/>
            </w:pPr>
            <w:r>
              <w:rPr>
                <w:sz w:val="16"/>
              </w:rPr>
            </w:r>
            <w:r>
              <w:rPr>
                <w:b w:val="0"/>
                <w:sz w:val="16"/>
              </w:rPr>
              <w:t>Updated</w:t>
            </w:r>
          </w:p>
        </w:tc>
        <w:tc>
          <w:tcPr>
            <w:tcW w:type="dxa" w:w="5760"/>
            <w:vAlign w:val="top"/>
            <w:shd w:fill="FFFFFF"/>
          </w:tcPr>
          <w:p>
            <w:pPr>
              <w:spacing w:after="0"/>
            </w:pPr>
            <w:r>
              <w:rPr>
                <w:sz w:val="16"/>
              </w:rPr>
            </w:r>
            <w:r>
              <w:rPr>
                <w:b w:val="0"/>
                <w:sz w:val="16"/>
              </w:rPr>
              <w:t>Reflects ADRs 0000-0022 and Proposed statuses.</w:t>
            </w:r>
          </w:p>
        </w:tc>
      </w:tr>
      <w:tr>
        <w:tc>
          <w:tcPr>
            <w:tcW w:type="dxa" w:w="2880"/>
            <w:vAlign w:val="top"/>
            <w:shd w:fill="FFFFFF"/>
          </w:tcPr>
          <w:p>
            <w:pPr>
              <w:spacing w:after="0"/>
            </w:pPr>
            <w:r>
              <w:rPr>
                <w:sz w:val="16"/>
              </w:rPr>
            </w:r>
            <w:r>
              <w:rPr>
                <w:b w:val="0"/>
                <w:sz w:val="16"/>
              </w:rPr>
              <w:t>ADRs 0001-0010</w:t>
            </w:r>
          </w:p>
        </w:tc>
        <w:tc>
          <w:tcPr>
            <w:tcW w:type="dxa" w:w="2016"/>
            <w:vAlign w:val="top"/>
            <w:shd w:fill="FFFFFF"/>
          </w:tcPr>
          <w:p>
            <w:pPr>
              <w:spacing w:after="0"/>
            </w:pPr>
            <w:r>
              <w:rPr>
                <w:sz w:val="16"/>
              </w:rPr>
            </w:r>
            <w:r>
              <w:rPr>
                <w:b w:val="0"/>
                <w:sz w:val="16"/>
              </w:rPr>
              <w:t>Placeholder/proposed</w:t>
            </w:r>
          </w:p>
        </w:tc>
        <w:tc>
          <w:tcPr>
            <w:tcW w:type="dxa" w:w="5760"/>
            <w:vAlign w:val="top"/>
            <w:shd w:fill="FFFFFF"/>
          </w:tcPr>
          <w:p>
            <w:pPr>
              <w:spacing w:after="0"/>
            </w:pPr>
            <w:r>
              <w:rPr>
                <w:sz w:val="16"/>
              </w:rPr>
            </w:r>
            <w:r>
              <w:rPr>
                <w:b w:val="0"/>
                <w:sz w:val="16"/>
              </w:rPr>
              <w:t>Foundational product, governance, payment, Nostr, course-data decisions.</w:t>
            </w:r>
          </w:p>
        </w:tc>
      </w:tr>
      <w:tr>
        <w:tc>
          <w:tcPr>
            <w:tcW w:type="dxa" w:w="2880"/>
            <w:vAlign w:val="top"/>
            <w:shd w:fill="FFFFFF"/>
          </w:tcPr>
          <w:p>
            <w:pPr>
              <w:spacing w:after="0"/>
            </w:pPr>
            <w:r>
              <w:rPr>
                <w:sz w:val="16"/>
              </w:rPr>
            </w:r>
            <w:r>
              <w:rPr>
                <w:b w:val="0"/>
                <w:sz w:val="16"/>
              </w:rPr>
              <w:t>ADRs 0011-0022</w:t>
            </w:r>
          </w:p>
        </w:tc>
        <w:tc>
          <w:tcPr>
            <w:tcW w:type="dxa" w:w="2016"/>
            <w:vAlign w:val="top"/>
            <w:shd w:fill="FFFFFF"/>
          </w:tcPr>
          <w:p>
            <w:pPr>
              <w:spacing w:after="0"/>
            </w:pPr>
            <w:r>
              <w:rPr>
                <w:sz w:val="16"/>
              </w:rPr>
            </w:r>
            <w:r>
              <w:rPr>
                <w:b w:val="0"/>
                <w:sz w:val="16"/>
              </w:rPr>
              <w:t>Imported/proposed</w:t>
            </w:r>
          </w:p>
        </w:tc>
        <w:tc>
          <w:tcPr>
            <w:tcW w:type="dxa" w:w="5760"/>
            <w:vAlign w:val="top"/>
            <w:shd w:fill="FFFFFF"/>
          </w:tcPr>
          <w:p>
            <w:pPr>
              <w:spacing w:after="0"/>
            </w:pPr>
            <w:r>
              <w:rPr>
                <w:sz w:val="16"/>
              </w:rPr>
            </w:r>
            <w:r>
              <w:rPr>
                <w:b w:val="0"/>
                <w:sz w:val="16"/>
              </w:rPr>
              <w:t>Framework, database, hosting, Nostr relay, wallet/payment, score, dispute, offline decisions.</w:t>
            </w:r>
          </w:p>
        </w:tc>
      </w:tr>
      <w:tr>
        <w:tc>
          <w:tcPr>
            <w:tcW w:type="dxa" w:w="2880"/>
            <w:vAlign w:val="top"/>
            <w:shd w:fill="FFFFFF"/>
          </w:tcPr>
          <w:p>
            <w:pPr>
              <w:spacing w:after="0"/>
            </w:pPr>
            <w:r>
              <w:rPr>
                <w:sz w:val="16"/>
              </w:rPr>
            </w:r>
            <w:r>
              <w:rPr>
                <w:b w:val="0"/>
                <w:sz w:val="16"/>
              </w:rPr>
              <w:t>ADR 0006 correction</w:t>
            </w:r>
          </w:p>
        </w:tc>
        <w:tc>
          <w:tcPr>
            <w:tcW w:type="dxa" w:w="2016"/>
            <w:vAlign w:val="top"/>
            <w:shd w:fill="FFFFFF"/>
          </w:tcPr>
          <w:p>
            <w:pPr>
              <w:spacing w:after="0"/>
            </w:pPr>
            <w:r>
              <w:rPr>
                <w:sz w:val="16"/>
              </w:rPr>
            </w:r>
            <w:r>
              <w:rPr>
                <w:b w:val="0"/>
                <w:sz w:val="16"/>
              </w:rPr>
              <w:t>Updated</w:t>
            </w:r>
          </w:p>
        </w:tc>
        <w:tc>
          <w:tcPr>
            <w:tcW w:type="dxa" w:w="5760"/>
            <w:vAlign w:val="top"/>
            <w:shd w:fill="FFFFFF"/>
          </w:tcPr>
          <w:p>
            <w:pPr>
              <w:spacing w:after="0"/>
            </w:pPr>
            <w:r>
              <w:rPr>
                <w:sz w:val="16"/>
              </w:rPr>
            </w:r>
            <w:r>
              <w:rPr>
                <w:b w:val="0"/>
                <w:sz w:val="16"/>
              </w:rPr>
              <w:t>Validity attestations and timestamp anchoring separated.</w:t>
            </w:r>
          </w:p>
        </w:tc>
      </w:tr>
      <w:tr>
        <w:tc>
          <w:tcPr>
            <w:tcW w:type="dxa" w:w="2880"/>
            <w:vAlign w:val="top"/>
            <w:shd w:fill="FFFFFF"/>
          </w:tcPr>
          <w:p>
            <w:pPr>
              <w:spacing w:after="0"/>
            </w:pPr>
            <w:r>
              <w:rPr>
                <w:sz w:val="16"/>
              </w:rPr>
            </w:r>
            <w:r>
              <w:rPr>
                <w:b w:val="0"/>
                <w:sz w:val="16"/>
              </w:rPr>
              <w:t>Course data-source registry</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OpenGolfAPI, OSM, OSM-derived, schema, paid/global candidates, risks.</w:t>
            </w:r>
          </w:p>
        </w:tc>
      </w:tr>
      <w:tr>
        <w:tc>
          <w:tcPr>
            <w:tcW w:type="dxa" w:w="2880"/>
            <w:vAlign w:val="top"/>
            <w:shd w:fill="FFFFFF"/>
          </w:tcPr>
          <w:p>
            <w:pPr>
              <w:spacing w:after="0"/>
            </w:pPr>
            <w:r>
              <w:rPr>
                <w:sz w:val="16"/>
              </w:rPr>
            </w:r>
            <w:r>
              <w:rPr>
                <w:b w:val="0"/>
                <w:sz w:val="16"/>
              </w:rPr>
              <w:t>Git issue backlog</w:t>
            </w:r>
          </w:p>
        </w:tc>
        <w:tc>
          <w:tcPr>
            <w:tcW w:type="dxa" w:w="2016"/>
            <w:vAlign w:val="top"/>
            <w:shd w:fill="FFFFFF"/>
          </w:tcPr>
          <w:p>
            <w:pPr>
              <w:spacing w:after="0"/>
            </w:pPr>
            <w:r>
              <w:rPr>
                <w:sz w:val="16"/>
              </w:rPr>
            </w:r>
            <w:r>
              <w:rPr>
                <w:b w:val="0"/>
                <w:sz w:val="16"/>
              </w:rPr>
              <w:t>Generated</w:t>
            </w:r>
          </w:p>
        </w:tc>
        <w:tc>
          <w:tcPr>
            <w:tcW w:type="dxa" w:w="5760"/>
            <w:vAlign w:val="top"/>
            <w:shd w:fill="FFFFFF"/>
          </w:tcPr>
          <w:p>
            <w:pPr>
              <w:spacing w:after="0"/>
            </w:pPr>
            <w:r>
              <w:rPr>
                <w:sz w:val="16"/>
              </w:rPr>
            </w:r>
            <w:r>
              <w:rPr>
                <w:b w:val="0"/>
                <w:sz w:val="16"/>
              </w:rPr>
              <w:t>40 GitHub-ready issues across Sprint 0-5 and post-MVP backlog.</w:t>
            </w:r>
          </w:p>
        </w:tc>
      </w:tr>
      <w:tr>
        <w:tc>
          <w:tcPr>
            <w:tcW w:type="dxa" w:w="2880"/>
            <w:vAlign w:val="top"/>
            <w:shd w:fill="FFFFFF"/>
          </w:tcPr>
          <w:p>
            <w:pPr>
              <w:spacing w:after="0"/>
            </w:pPr>
            <w:r>
              <w:rPr>
                <w:sz w:val="16"/>
              </w:rPr>
            </w:r>
            <w:r>
              <w:rPr>
                <w:b w:val="0"/>
                <w:sz w:val="16"/>
              </w:rPr>
              <w:t>WSL issue import scripts</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VS Code/WSL-friendly GitHub labels/milestones/issues import helper package.</w:t>
            </w:r>
          </w:p>
        </w:tc>
      </w:tr>
      <w:tr>
        <w:tc>
          <w:tcPr>
            <w:tcW w:type="dxa" w:w="2880"/>
            <w:vAlign w:val="top"/>
            <w:shd w:fill="FFFFFF"/>
          </w:tcPr>
          <w:p>
            <w:pPr>
              <w:spacing w:after="0"/>
            </w:pPr>
            <w:r>
              <w:rPr>
                <w:sz w:val="16"/>
              </w:rPr>
            </w:r>
            <w:r>
              <w:rPr>
                <w:b w:val="0"/>
                <w:sz w:val="16"/>
              </w:rPr>
              <w:t>CI pipeline placeholder</w:t>
            </w:r>
          </w:p>
        </w:tc>
        <w:tc>
          <w:tcPr>
            <w:tcW w:type="dxa" w:w="2016"/>
            <w:vAlign w:val="top"/>
            <w:shd w:fill="FFFFFF"/>
          </w:tcPr>
          <w:p>
            <w:pPr>
              <w:spacing w:after="0"/>
            </w:pPr>
            <w:r>
              <w:rPr>
                <w:sz w:val="16"/>
              </w:rPr>
            </w:r>
            <w:r>
              <w:rPr>
                <w:b w:val="0"/>
                <w:sz w:val="16"/>
              </w:rPr>
              <w:t>Created</w:t>
            </w:r>
          </w:p>
        </w:tc>
        <w:tc>
          <w:tcPr>
            <w:tcW w:type="dxa" w:w="5760"/>
            <w:vAlign w:val="top"/>
            <w:shd w:fill="FFFFFF"/>
          </w:tcPr>
          <w:p>
            <w:pPr>
              <w:spacing w:after="0"/>
            </w:pPr>
            <w:r>
              <w:rPr>
                <w:sz w:val="16"/>
              </w:rPr>
            </w:r>
            <w:r>
              <w:rPr>
                <w:b w:val="0"/>
                <w:sz w:val="16"/>
              </w:rPr>
              <w:t>GitHub Actions workflow and scripts for metadata, format, lint, unit tests, dependency inventory.</w:t>
            </w:r>
          </w:p>
        </w:tc>
      </w:tr>
    </w:tbl>
    <w:p/>
    <w:p>
      <w:pPr>
        <w:pStyle w:val="Heading2"/>
        <w:keepNext/>
      </w:pPr>
      <w:r>
        <w:t>Reference paths to preserve in repo</w:t>
      </w:r>
    </w:p>
    <w:tbl>
      <w:tblPr>
        <w:tblStyle w:val="TableGrid"/>
        <w:tblW w:type="auto" w:w="0"/>
        <w:tblLook w:firstColumn="1" w:firstRow="1" w:lastColumn="0" w:lastRow="0" w:noHBand="0" w:noVBand="1" w:val="04A0"/>
      </w:tblPr>
      <w:tblGrid>
        <w:gridCol w:w="10368"/>
      </w:tblGrid>
      <w:tr>
        <w:tc>
          <w:tcPr>
            <w:tcW w:type="dxa" w:w="10368"/>
            <w:shd w:fill="F8FAFC"/>
          </w:tcPr>
          <w:p>
            <w:pPr>
              <w:spacing w:after="0"/>
            </w:pPr>
            <w:r>
              <w:rPr>
                <w:rFonts w:ascii="Courier New" w:hAnsi="Courier New" w:eastAsia="Courier New"/>
                <w:sz w:val="16"/>
              </w:rPr>
              <w:t>README.md</w:t>
              <w:br/>
              <w:t>CONTRIBUTING.md</w:t>
              <w:br/>
              <w:t>CODE_OF_CONDUCT.md</w:t>
              <w:br/>
              <w:t>SECURITY.md</w:t>
              <w:br/>
              <w:t>SUPPORT.md</w:t>
              <w:br/>
              <w:t>.github/ISSUE_TEMPLATE/*.yml</w:t>
              <w:br/>
              <w:t>.github/pull_request_template.md</w:t>
              <w:br/>
              <w:t>.github/workflows/ci.yml</w:t>
              <w:br/>
              <w:t>docs/adr/README.md</w:t>
              <w:br/>
              <w:t>docs/adr/0000-adr-template.md</w:t>
              <w:br/>
              <w:t>docs/adr/0001-*.md ... docs/adr/0022-*.md</w:t>
              <w:br/>
              <w:t>docs/data-sources/course-data-registry.md</w:t>
              <w:br/>
              <w:t>docs/data-sources/course-data-registry.csv</w:t>
              <w:br/>
              <w:t>docs/ci/README.md</w:t>
              <w:br/>
              <w:t>scripts/ci/*.sh</w:t>
            </w:r>
          </w:p>
        </w:tc>
        <w:trPr>
          <w:tblHeader/>
        </w:trPr>
      </w:tr>
    </w:tbl>
    <w:p/>
    <w:tbl>
      <w:tblPr>
        <w:tblStyle w:val="TableGrid"/>
        <w:tblW w:type="auto" w:w="0"/>
        <w:tblLook w:firstColumn="1" w:firstRow="1" w:lastColumn="0" w:lastRow="0" w:noHBand="0" w:noVBand="1" w:val="04A0"/>
      </w:tblPr>
      <w:tblGrid>
        <w:gridCol w:w="10368"/>
      </w:tblGrid>
      <w:tr>
        <w:tc>
          <w:tcPr>
            <w:tcW w:type="dxa" w:w="10368"/>
            <w:shd w:fill="EFE8F7"/>
          </w:tcPr>
          <w:p>
            <w:pPr>
              <w:spacing w:after="60"/>
            </w:pPr>
            <w:r>
              <w:rPr>
                <w:b/>
                <w:color w:val="4B1D83"/>
                <w:sz w:val="21"/>
              </w:rPr>
              <w:t>Final v0.4 takeaway</w:t>
            </w:r>
          </w:p>
          <w:p>
            <w:pPr>
              <w:spacing w:after="0"/>
            </w:pPr>
            <w:r>
              <w:rPr>
                <w:sz w:val="19"/>
              </w:rPr>
              <w:t>The project is ready to move from planning scaffolding into implementation, but only after the team reviews the Proposed ADR set and confirms that repository assets, labels, issues, CI, and data registry are actually committed in the live repo.</w:t>
            </w:r>
          </w:p>
        </w:tc>
        <w:trPr>
          <w:tblHeader/>
        </w:trPr>
      </w:tr>
    </w:tbl>
    <w:p/>
    <w:p>
      <w:r>
        <w:br w:type="page"/>
      </w:r>
    </w:p>
    <w:p>
      <w:pPr>
        <w:pStyle w:val="Heading1"/>
        <w:keepNext/>
      </w:pPr>
      <w:r>
        <w:t>Document control</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448"/>
            <w:shd w:fill="4B1D83"/>
            <w:vAlign w:val="center"/>
          </w:tcPr>
          <w:p>
            <w:pPr>
              <w:spacing w:after="0"/>
            </w:pPr>
            <w:r>
              <w:rPr>
                <w:b/>
                <w:color w:val="FFFFFF"/>
                <w:sz w:val="16"/>
              </w:rPr>
            </w:r>
            <w:r>
              <w:rPr>
                <w:b/>
                <w:color w:val="FFFFFF"/>
                <w:sz w:val="16"/>
              </w:rPr>
              <w:t>Field</w:t>
            </w:r>
          </w:p>
        </w:tc>
        <w:tc>
          <w:tcPr>
            <w:tcW w:type="dxa" w:w="8208"/>
            <w:shd w:fill="4B1D83"/>
            <w:vAlign w:val="center"/>
          </w:tcPr>
          <w:p>
            <w:pPr>
              <w:spacing w:after="0"/>
            </w:pPr>
            <w:r>
              <w:rPr>
                <w:b/>
                <w:color w:val="FFFFFF"/>
                <w:sz w:val="16"/>
              </w:rPr>
            </w:r>
            <w:r>
              <w:rPr>
                <w:b/>
                <w:color w:val="FFFFFF"/>
                <w:sz w:val="16"/>
              </w:rPr>
              <w:t>Value</w:t>
            </w:r>
          </w:p>
        </w:tc>
      </w:tr>
      <w:tr>
        <w:tc>
          <w:tcPr>
            <w:tcW w:type="dxa" w:w="2448"/>
            <w:vAlign w:val="top"/>
            <w:shd w:fill="FFFFFF"/>
          </w:tcPr>
          <w:p>
            <w:pPr>
              <w:spacing w:after="0"/>
            </w:pPr>
            <w:r>
              <w:rPr>
                <w:sz w:val="16"/>
              </w:rPr>
            </w:r>
            <w:r>
              <w:rPr>
                <w:b w:val="0"/>
                <w:sz w:val="16"/>
              </w:rPr>
              <w:t>Document</w:t>
            </w:r>
          </w:p>
        </w:tc>
        <w:tc>
          <w:tcPr>
            <w:tcW w:type="dxa" w:w="8208"/>
            <w:vAlign w:val="top"/>
            <w:shd w:fill="FFFFFF"/>
          </w:tcPr>
          <w:p>
            <w:pPr>
              <w:spacing w:after="0"/>
            </w:pPr>
            <w:r>
              <w:rPr>
                <w:sz w:val="16"/>
              </w:rPr>
            </w:r>
            <w:r>
              <w:rPr>
                <w:b w:val="0"/>
                <w:sz w:val="16"/>
              </w:rPr>
              <w:t>Ride or Die Scorecard Foundation Document</w:t>
            </w:r>
          </w:p>
        </w:tc>
      </w:tr>
      <w:tr>
        <w:tc>
          <w:tcPr>
            <w:tcW w:type="dxa" w:w="2448"/>
            <w:vAlign w:val="top"/>
            <w:shd w:fill="FFFFFF"/>
          </w:tcPr>
          <w:p>
            <w:pPr>
              <w:spacing w:after="0"/>
            </w:pPr>
            <w:r>
              <w:rPr>
                <w:sz w:val="16"/>
              </w:rPr>
            </w:r>
            <w:r>
              <w:rPr>
                <w:b w:val="0"/>
                <w:sz w:val="16"/>
              </w:rPr>
              <w:t>Version</w:t>
            </w:r>
          </w:p>
        </w:tc>
        <w:tc>
          <w:tcPr>
            <w:tcW w:type="dxa" w:w="8208"/>
            <w:vAlign w:val="top"/>
            <w:shd w:fill="FFFFFF"/>
          </w:tcPr>
          <w:p>
            <w:pPr/>
            <w:r>
              <w:rPr>
                <w:sz w:val="16"/>
              </w:rPr>
              <w:t>v0.4.1 Nostash onboarding update</w:t>
            </w:r>
          </w:p>
        </w:tc>
      </w:tr>
      <w:tr>
        <w:tc>
          <w:tcPr>
            <w:tcW w:type="dxa" w:w="2448"/>
            <w:vAlign w:val="top"/>
            <w:shd w:fill="FFFFFF"/>
          </w:tcPr>
          <w:p>
            <w:pPr>
              <w:spacing w:after="0"/>
            </w:pPr>
            <w:r>
              <w:rPr>
                <w:sz w:val="16"/>
              </w:rPr>
            </w:r>
            <w:r>
              <w:rPr>
                <w:b w:val="0"/>
                <w:sz w:val="16"/>
              </w:rPr>
              <w:t>Date</w:t>
            </w:r>
          </w:p>
        </w:tc>
        <w:tc>
          <w:tcPr>
            <w:tcW w:type="dxa" w:w="8208"/>
            <w:vAlign w:val="top"/>
            <w:shd w:fill="FFFFFF"/>
          </w:tcPr>
          <w:p>
            <w:pPr/>
            <w:r>
              <w:rPr>
                <w:sz w:val="16"/>
              </w:rPr>
              <w:t>26 June 2026</w:t>
            </w:r>
          </w:p>
        </w:tc>
      </w:tr>
      <w:tr>
        <w:tc>
          <w:tcPr>
            <w:tcW w:type="dxa" w:w="2448"/>
            <w:vAlign w:val="top"/>
            <w:shd w:fill="FFFFFF"/>
          </w:tcPr>
          <w:p>
            <w:pPr>
              <w:spacing w:after="0"/>
            </w:pPr>
            <w:r>
              <w:rPr>
                <w:sz w:val="16"/>
              </w:rPr>
            </w:r>
            <w:r>
              <w:rPr>
                <w:b w:val="0"/>
                <w:sz w:val="16"/>
              </w:rPr>
              <w:t>Supersedes</w:t>
            </w:r>
          </w:p>
        </w:tc>
        <w:tc>
          <w:tcPr>
            <w:tcW w:type="dxa" w:w="8208"/>
            <w:vAlign w:val="top"/>
            <w:shd w:fill="FFFFFF"/>
          </w:tcPr>
          <w:p>
            <w:pPr>
              <w:spacing w:after="0"/>
            </w:pPr>
            <w:r>
              <w:rPr>
                <w:sz w:val="16"/>
              </w:rPr>
            </w:r>
            <w:r>
              <w:rPr>
                <w:b w:val="0"/>
                <w:sz w:val="16"/>
              </w:rPr>
              <w:t>v0.3 final</w:t>
            </w:r>
          </w:p>
        </w:tc>
      </w:tr>
      <w:tr>
        <w:tc>
          <w:tcPr>
            <w:tcW w:type="dxa" w:w="2448"/>
            <w:vAlign w:val="top"/>
            <w:shd w:fill="FFFFFF"/>
          </w:tcPr>
          <w:p>
            <w:pPr>
              <w:spacing w:after="0"/>
            </w:pPr>
            <w:r>
              <w:rPr>
                <w:sz w:val="16"/>
              </w:rPr>
            </w:r>
            <w:r>
              <w:rPr>
                <w:b w:val="0"/>
                <w:sz w:val="16"/>
              </w:rPr>
              <w:t>Primary purpose</w:t>
            </w:r>
          </w:p>
        </w:tc>
        <w:tc>
          <w:tcPr>
            <w:tcW w:type="dxa" w:w="8208"/>
            <w:vAlign w:val="top"/>
            <w:shd w:fill="FFFFFF"/>
          </w:tcPr>
          <w:p>
            <w:pPr/>
            <w:r>
              <w:rPr>
                <w:sz w:val="16"/>
              </w:rPr>
              <w:t>Single source of truth for current product direction, repo scaffolding, ADR status, MVP scope, Nostr signer onboarding, and next implementation actions.</w:t>
            </w:r>
          </w:p>
        </w:tc>
      </w:tr>
      <w:tr>
        <w:tc>
          <w:tcPr>
            <w:tcW w:type="dxa" w:w="2448"/>
            <w:vAlign w:val="top"/>
            <w:shd w:fill="FFFFFF"/>
          </w:tcPr>
          <w:p>
            <w:pPr>
              <w:spacing w:after="0"/>
            </w:pPr>
            <w:r>
              <w:rPr>
                <w:sz w:val="16"/>
              </w:rPr>
            </w:r>
            <w:r>
              <w:rPr>
                <w:b w:val="0"/>
                <w:sz w:val="16"/>
              </w:rPr>
              <w:t>Review status</w:t>
            </w:r>
          </w:p>
        </w:tc>
        <w:tc>
          <w:tcPr>
            <w:tcW w:type="dxa" w:w="8208"/>
            <w:vAlign w:val="top"/>
            <w:shd w:fill="FFFFFF"/>
          </w:tcPr>
          <w:p>
            <w:pPr>
              <w:spacing w:after="0"/>
            </w:pPr>
            <w:r>
              <w:rPr>
                <w:sz w:val="16"/>
              </w:rPr>
            </w:r>
            <w:r>
              <w:rPr>
                <w:b w:val="0"/>
                <w:sz w:val="16"/>
              </w:rPr>
              <w:t>Current-state draft. Needs project-owner review before treating as binding.</w:t>
            </w:r>
          </w:p>
        </w:tc>
      </w:tr>
    </w:tbl>
    <w:p/>
    <w:sectPr>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Open-source - Nostr-native - Bitcoin-powered - Current-state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1D83"/>
        <w:sz w:val="16"/>
      </w:rPr>
      <w:t>Ride or Die Scorecard - Foundation Document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1F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4B1D83"/>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1F1F2E"/>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eastAsia="Aptos Display"/>
      <w:b/>
      <w:bCs/>
      <w:color w:val="4B1D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4B1D8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F7931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basedOn w:val="Normal"/>
    <w:pPr>
      <w:spacing w:after="40"/>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 or Die Scorecard Foundation Document v0.4</dc:title>
  <dc:subject>Current project status and MVP foundation</dc:subject>
  <dc:creator/>
  <cp:keywords>Ride or Die Scorecard, Nostr, Bitcoin, Lightning, Golf, PWA, ADR</cp:keywords>
  <dc:description>generated by python-docx</dc:description>
  <cp:lastModifiedBy/>
  <cp:revision>1</cp:revision>
  <dcterms:created xsi:type="dcterms:W3CDTF">2013-12-23T23:15:00Z</dcterms:created>
  <dcterms:modified xsi:type="dcterms:W3CDTF">2013-12-23T23:15:00Z</dcterms:modified>
  <cp:category/>
</cp:coreProperties>
</file>