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E4E"/>
          <w:sz w:val="60"/>
        </w:rPr>
        <w:t>VLUMEAWARE</w:t>
      </w:r>
    </w:p>
    <w:p>
      <w:pPr>
        <w:jc w:val="center"/>
      </w:pPr>
      <w:r>
        <w:rPr>
          <w:color w:val="0E7C86"/>
          <w:sz w:val="32"/>
        </w:rPr>
        <w:t>Compliance Roadmap &amp; Requirements Checklist</w:t>
      </w:r>
    </w:p>
    <w:p>
      <w:pPr>
        <w:jc w:val="center"/>
      </w:pPr>
      <w:r>
        <w:rPr>
          <w:b/>
          <w:color w:val="555F6B"/>
          <w:sz w:val="26"/>
        </w:rPr>
        <w:t>SOC 2  ·  ISO/IEC 27001:2022  ·  ISO/IEC 42001:2023</w:t>
      </w:r>
    </w:p>
    <w:p/>
    <w:p/>
    <w:p>
      <w:pPr>
        <w:jc w:val="center"/>
      </w:pPr>
      <w:r>
        <w:rPr>
          <w:sz w:val="24"/>
        </w:rPr>
        <w:t>Prepared for Vlumetech LTD</w:t>
      </w:r>
    </w:p>
    <w:p>
      <w:pPr>
        <w:jc w:val="center"/>
      </w:pPr>
      <w:r>
        <w:rPr>
          <w:i/>
          <w:color w:val="555F6B"/>
          <w:sz w:val="21"/>
        </w:rPr>
        <w:t>Working document — for team prioritisation</w:t>
      </w:r>
    </w:p>
    <w:p>
      <w:pPr>
        <w:jc w:val="center"/>
      </w:pPr>
      <w:r>
        <w:rPr>
          <w:color w:val="555F6B"/>
          <w:sz w:val="21"/>
        </w:rPr>
        <w:t>Version 1.0  ·  30 September 2026</w:t>
      </w:r>
    </w:p>
    <w:p>
      <w:r>
        <w:br w:type="page"/>
      </w:r>
    </w:p>
    <w:p>
      <w:pPr>
        <w:pBdr>
          <w:bottom w:val="single" w:sz="6" w:space="4" w:color="0E7C86"/>
        </w:pBdr>
      </w:pPr>
      <w:r>
        <w:rPr>
          <w:b/>
          <w:color w:val="0F2E4E"/>
          <w:sz w:val="32"/>
        </w:rPr>
        <w:t>1.  Executive summary</w:t>
      </w:r>
    </w:p>
    <w:p>
      <w:r>
        <w:rPr>
          <w:i w:val="0"/>
          <w:sz w:val="21"/>
        </w:rPr>
        <w:t>This document lists what Vlumetech must do to achieve three independent compliance goals for the Vlumeaware platform, and turns each into a prioritised, ownable checklist so the team can plan the work. All three are earned through an external assessor — none can be self-declared.</w:t>
      </w:r>
    </w:p>
    <w:p>
      <w:r>
        <w:rPr>
          <w:b/>
          <w:color w:val="0E7C86"/>
          <w:sz w:val="25"/>
        </w:rPr>
        <w:t>What each standard is</w:t>
      </w:r>
    </w:p>
    <w:p>
      <w:pPr>
        <w:pStyle w:val="ListBullet"/>
      </w:pPr>
      <w:r>
        <w:rPr>
          <w:b/>
          <w:sz w:val="21"/>
        </w:rPr>
        <w:t xml:space="preserve">SOC 2 </w:t>
      </w:r>
      <w:r>
        <w:rPr>
          <w:sz w:val="21"/>
        </w:rPr>
        <w:t>is an attestation, not a certification. A licensed CPA firm examines your controls against the AICPA Trust Services Criteria and issues a report. Type I tests design at a point in time; Type II tests that controls operated effectively over a period (typically 6–12 months). Customers almost always want Type II.</w:t>
      </w:r>
    </w:p>
    <w:p>
      <w:pPr>
        <w:pStyle w:val="ListBullet"/>
      </w:pPr>
      <w:r>
        <w:rPr>
          <w:b/>
          <w:sz w:val="21"/>
        </w:rPr>
        <w:t xml:space="preserve">ISO/IEC 27001:2022 </w:t>
      </w:r>
      <w:r>
        <w:rPr>
          <w:sz w:val="21"/>
        </w:rPr>
        <w:t>is a certification of an Information Security Management System (ISMS). An accredited certification body audits in two stages; the certificate lasts three years with annual surveillance audits. The core is management-system clauses 4–10 plus the 93 Annex A controls.</w:t>
      </w:r>
    </w:p>
    <w:p>
      <w:pPr>
        <w:pStyle w:val="ListBullet"/>
      </w:pPr>
      <w:r>
        <w:rPr>
          <w:b/>
          <w:sz w:val="21"/>
        </w:rPr>
        <w:t xml:space="preserve">ISO/IEC 42001:2023 </w:t>
      </w:r>
      <w:r>
        <w:rPr>
          <w:sz w:val="21"/>
        </w:rPr>
        <w:t>is a certification of an Artificial Intelligence Management System (AIMS) — the first management-system standard for AI. It applies to Vlumeaware because the product uses large language models to generate phishing lures and training narratives, which is an AI use with real safety, dual-use and data-governance considerations. Structure mirrors 27001: clauses 4–10 plus AI-specific Annex A controls.</w:t>
      </w:r>
    </w:p>
    <w:p>
      <w:r>
        <w:rPr>
          <w:b/>
          <w:color w:val="0E7C86"/>
          <w:sz w:val="25"/>
        </w:rPr>
        <w:t>The efficient path: build once, certify many</w:t>
      </w:r>
    </w:p>
    <w:p>
      <w:r>
        <w:rPr>
          <w:i w:val="0"/>
          <w:sz w:val="21"/>
        </w:rPr>
        <w:t>Roughly 60–70% of the effort is shared. A single ISMS backbone — policies, a risk assessment, asset and access management, HR security, supplier management, incident response, business continuity, logging and monitoring, change management, internal audit and management review — satisfies the bulk of all three standards at once. Section 2 covers this shared foundation; Sections 3–5 cover each standard's specific additions; Section 6 maps the overlap; Section 7 gives a phased plan.</w:t>
      </w:r>
    </w:p>
    <w:p>
      <w:r>
        <w:rPr>
          <w:b/>
          <w:color w:val="0E7C86"/>
          <w:sz w:val="25"/>
        </w:rPr>
        <w:t>Where Vlumeaware stands today</w:t>
      </w:r>
    </w:p>
    <w:p>
      <w:r>
        <w:rPr>
          <w:i w:val="0"/>
          <w:sz w:val="21"/>
        </w:rPr>
        <w:t>The technical access-control and audit work completed to date (multi-factor authentication, role-based access with a generated authorization matrix, query-layer tenant isolation, authentication and privileged-access audit logging, rate limiting and account lockout) is a genuine head-start on the logical-access and operations controls. But most of a compliance programme is organisational policy and evidence-over-time, which has not yet started. Honest current status: strengthening controls — not yet audit-ready, and not compliant.</w:t>
      </w:r>
    </w:p>
    <w:p>
      <w:r>
        <w:rPr>
          <w:i/>
          <w:color w:val="555F6B"/>
          <w:sz w:val="19"/>
        </w:rPr>
        <w:t>Legend used throughout:  Done = in place &amp; evidenced  ·  Partial = partially in place  ·  Not started = to do.   Priority:  P1 = foundational / do first  ·  P2 = required, second wave  ·  P3 = later / maturity.</w:t>
      </w:r>
    </w:p>
    <w:p>
      <w:r>
        <w:br w:type="page"/>
      </w:r>
    </w:p>
    <w:p>
      <w:pPr>
        <w:pBdr>
          <w:bottom w:val="single" w:sz="6" w:space="4" w:color="0E7C86"/>
        </w:pBdr>
      </w:pPr>
      <w:r>
        <w:rPr>
          <w:b/>
          <w:color w:val="0F2E4E"/>
          <w:sz w:val="32"/>
        </w:rPr>
        <w:t>2.  Shared foundation (satisfies SOC 2 + ISO 27001 + ISO 42001)</w:t>
      </w:r>
    </w:p>
    <w:p>
      <w:r>
        <w:rPr>
          <w:i w:val="0"/>
          <w:sz w:val="21"/>
        </w:rPr>
        <w:t>Do these first: each item is required by all three standards (or two of the three) and is mostly organisational rather than code. This is the ISMS/AIMS backbone.</w:t>
      </w:r>
    </w:p>
    <w:p>
      <w:r>
        <w:rPr>
          <w:b/>
          <w:color w:val="0E7C86"/>
          <w:sz w:val="25"/>
        </w:rPr>
        <w:t>2.1  Programme setup &amp; governance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F1</w:t>
            </w:r>
          </w:p>
        </w:tc>
        <w:tc>
          <w:tcPr>
            <w:tcW w:type="dxa" w:w="6336"/>
          </w:tcPr>
          <w:p>
            <w:r/>
            <w:r>
              <w:rPr>
                <w:b w:val="0"/>
                <w:sz w:val="19"/>
              </w:rPr>
              <w:t>Appoint an ISMS/compliance owner and an executive sponsor (management commitment)</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CEO/CTO</w:t>
            </w:r>
          </w:p>
        </w:tc>
      </w:tr>
      <w:tr>
        <w:tc>
          <w:tcPr>
            <w:tcW w:type="dxa" w:w="720"/>
            <w:shd w:val="clear" w:fill="EEF3F6"/>
          </w:tcPr>
          <w:p>
            <w:pPr>
              <w:jc w:val="center"/>
            </w:pPr>
            <w:r/>
            <w:r>
              <w:rPr>
                <w:b w:val="0"/>
                <w:sz w:val="19"/>
              </w:rPr>
              <w:t>F2</w:t>
            </w:r>
          </w:p>
        </w:tc>
        <w:tc>
          <w:tcPr>
            <w:tcW w:type="dxa" w:w="6336"/>
            <w:shd w:val="clear" w:fill="EEF3F6"/>
          </w:tcPr>
          <w:p>
            <w:r/>
            <w:r>
              <w:rPr>
                <w:b w:val="0"/>
                <w:sz w:val="19"/>
              </w:rPr>
              <w:t>Define scope &amp; system boundary (Vlumeaware product, environments, data, people, third parties)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F3</w:t>
            </w:r>
          </w:p>
        </w:tc>
        <w:tc>
          <w:tcPr>
            <w:tcW w:type="dxa" w:w="6336"/>
          </w:tcPr>
          <w:p>
            <w:r/>
            <w:r>
              <w:rPr>
                <w:b w:val="0"/>
                <w:sz w:val="19"/>
              </w:rPr>
              <w:t>Choose framework tooling / GRC platform (e.g. Vanta, Drata, Secureframe) to automate evidence</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F4</w:t>
            </w:r>
          </w:p>
        </w:tc>
        <w:tc>
          <w:tcPr>
            <w:tcW w:type="dxa" w:w="6336"/>
            <w:shd w:val="clear" w:fill="EEF3F6"/>
          </w:tcPr>
          <w:p>
            <w:r/>
            <w:r>
              <w:rPr>
                <w:b w:val="0"/>
                <w:sz w:val="19"/>
              </w:rPr>
              <w:t>Select assessors: SOC 2 CPA firm; ISO 27001 &amp; 42001 accredited certification body</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CEO</w:t>
            </w:r>
          </w:p>
        </w:tc>
      </w:tr>
      <w:tr>
        <w:tc>
          <w:tcPr>
            <w:tcW w:type="dxa" w:w="720"/>
          </w:tcPr>
          <w:p>
            <w:pPr>
              <w:jc w:val="center"/>
            </w:pPr>
            <w:r/>
            <w:r>
              <w:rPr>
                <w:b w:val="0"/>
                <w:sz w:val="19"/>
              </w:rPr>
              <w:t>F5</w:t>
            </w:r>
          </w:p>
        </w:tc>
        <w:tc>
          <w:tcPr>
            <w:tcW w:type="dxa" w:w="6336"/>
          </w:tcPr>
          <w:p>
            <w:r/>
            <w:r>
              <w:rPr>
                <w:b w:val="0"/>
                <w:sz w:val="19"/>
              </w:rPr>
              <w:t>Establish a security steering group and a recurring management-review meeting</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CTO</w:t>
            </w:r>
          </w:p>
        </w:tc>
      </w:tr>
    </w:tbl>
    <w:p/>
    <w:p>
      <w:r>
        <w:rPr>
          <w:b/>
          <w:color w:val="0E7C86"/>
          <w:sz w:val="25"/>
        </w:rPr>
        <w:t>2.2  Policies (the core policy 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F6</w:t>
            </w:r>
          </w:p>
        </w:tc>
        <w:tc>
          <w:tcPr>
            <w:tcW w:type="dxa" w:w="6336"/>
          </w:tcPr>
          <w:p>
            <w:r/>
            <w:r>
              <w:rPr>
                <w:b w:val="0"/>
                <w:sz w:val="19"/>
              </w:rPr>
              <w:t>Information Security Policy (top-level, management-approved)</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F7</w:t>
            </w:r>
          </w:p>
        </w:tc>
        <w:tc>
          <w:tcPr>
            <w:tcW w:type="dxa" w:w="6336"/>
            <w:shd w:val="clear" w:fill="EEF3F6"/>
          </w:tcPr>
          <w:p>
            <w:r/>
            <w:r>
              <w:rPr>
                <w:b w:val="0"/>
                <w:sz w:val="19"/>
              </w:rPr>
              <w:t>Acceptable Use, Access Control, and Password/Authentication policies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Compliance</w:t>
            </w:r>
          </w:p>
        </w:tc>
      </w:tr>
      <w:tr>
        <w:tc>
          <w:tcPr>
            <w:tcW w:type="dxa" w:w="720"/>
          </w:tcPr>
          <w:p>
            <w:pPr>
              <w:jc w:val="center"/>
            </w:pPr>
            <w:r/>
            <w:r>
              <w:rPr>
                <w:b w:val="0"/>
                <w:sz w:val="19"/>
              </w:rPr>
              <w:t>F8</w:t>
            </w:r>
          </w:p>
        </w:tc>
        <w:tc>
          <w:tcPr>
            <w:tcW w:type="dxa" w:w="6336"/>
          </w:tcPr>
          <w:p>
            <w:r/>
            <w:r>
              <w:rPr>
                <w:b w:val="0"/>
                <w:sz w:val="19"/>
              </w:rPr>
              <w:t>Data Classification, Retention &amp; Disposal policy</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F9</w:t>
            </w:r>
          </w:p>
        </w:tc>
        <w:tc>
          <w:tcPr>
            <w:tcW w:type="dxa" w:w="6336"/>
            <w:shd w:val="clear" w:fill="EEF3F6"/>
          </w:tcPr>
          <w:p>
            <w:r/>
            <w:r>
              <w:rPr>
                <w:b w:val="0"/>
                <w:sz w:val="19"/>
              </w:rPr>
              <w:t>Risk Management policy &amp; methodology</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Compliance</w:t>
            </w:r>
          </w:p>
        </w:tc>
      </w:tr>
      <w:tr>
        <w:tc>
          <w:tcPr>
            <w:tcW w:type="dxa" w:w="720"/>
          </w:tcPr>
          <w:p>
            <w:pPr>
              <w:jc w:val="center"/>
            </w:pPr>
            <w:r/>
            <w:r>
              <w:rPr>
                <w:b w:val="0"/>
                <w:sz w:val="19"/>
              </w:rPr>
              <w:t>F10</w:t>
            </w:r>
          </w:p>
        </w:tc>
        <w:tc>
          <w:tcPr>
            <w:tcW w:type="dxa" w:w="6336"/>
          </w:tcPr>
          <w:p>
            <w:r/>
            <w:r>
              <w:rPr>
                <w:b w:val="0"/>
                <w:sz w:val="19"/>
              </w:rPr>
              <w:t>Incident Response policy &amp; plan (with roles, severities, timelines)</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F11</w:t>
            </w:r>
          </w:p>
        </w:tc>
        <w:tc>
          <w:tcPr>
            <w:tcW w:type="dxa" w:w="6336"/>
            <w:shd w:val="clear" w:fill="EEF3F6"/>
          </w:tcPr>
          <w:p>
            <w:r/>
            <w:r>
              <w:rPr>
                <w:b w:val="0"/>
                <w:sz w:val="19"/>
              </w:rPr>
              <w:t>Business Continuity &amp; Disaster Recovery policy + plan</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F12</w:t>
            </w:r>
          </w:p>
        </w:tc>
        <w:tc>
          <w:tcPr>
            <w:tcW w:type="dxa" w:w="6336"/>
          </w:tcPr>
          <w:p>
            <w:r/>
            <w:r>
              <w:rPr>
                <w:b w:val="0"/>
                <w:sz w:val="19"/>
              </w:rPr>
              <w:t>Change Management policy (SDLC, code review, approvals, release)</w:t>
            </w:r>
          </w:p>
        </w:tc>
        <w:tc>
          <w:tcPr>
            <w:tcW w:type="dxa" w:w="1368"/>
            <w:shd w:val="clear" w:fill="FCF3DA"/>
          </w:tcPr>
          <w:p>
            <w:pPr>
              <w:jc w:val="center"/>
            </w:pPr>
            <w:r/>
            <w:r>
              <w:rPr>
                <w:b w:val="0"/>
                <w:sz w:val="19"/>
              </w:rPr>
              <w:t>Partial</w:t>
            </w:r>
          </w:p>
        </w:tc>
        <w:tc>
          <w:tcPr>
            <w:tcW w:type="dxa" w:w="1080"/>
          </w:tcPr>
          <w:p>
            <w:pPr>
              <w:jc w:val="center"/>
            </w:pPr>
            <w:r/>
            <w:r>
              <w:rPr>
                <w:b w:val="0"/>
                <w:sz w:val="19"/>
              </w:rPr>
              <w:t>P2</w:t>
            </w:r>
          </w:p>
        </w:tc>
        <w:tc>
          <w:tcPr>
            <w:tcW w:type="dxa" w:w="1296"/>
          </w:tcPr>
          <w:p>
            <w:r/>
            <w:r>
              <w:rPr>
                <w:b w:val="0"/>
                <w:sz w:val="19"/>
              </w:rPr>
              <w:t>CTO</w:t>
            </w:r>
          </w:p>
        </w:tc>
      </w:tr>
      <w:tr>
        <w:tc>
          <w:tcPr>
            <w:tcW w:type="dxa" w:w="720"/>
            <w:shd w:val="clear" w:fill="EEF3F6"/>
          </w:tcPr>
          <w:p>
            <w:pPr>
              <w:jc w:val="center"/>
            </w:pPr>
            <w:r/>
            <w:r>
              <w:rPr>
                <w:b w:val="0"/>
                <w:sz w:val="19"/>
              </w:rPr>
              <w:t>F13</w:t>
            </w:r>
          </w:p>
        </w:tc>
        <w:tc>
          <w:tcPr>
            <w:tcW w:type="dxa" w:w="6336"/>
            <w:shd w:val="clear" w:fill="EEF3F6"/>
          </w:tcPr>
          <w:p>
            <w:r/>
            <w:r>
              <w:rPr>
                <w:b w:val="0"/>
                <w:sz w:val="19"/>
              </w:rPr>
              <w:t>Vendor / Third-party (supplier) management policy</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Compliance</w:t>
            </w:r>
          </w:p>
        </w:tc>
      </w:tr>
      <w:tr>
        <w:tc>
          <w:tcPr>
            <w:tcW w:type="dxa" w:w="720"/>
          </w:tcPr>
          <w:p>
            <w:pPr>
              <w:jc w:val="center"/>
            </w:pPr>
            <w:r/>
            <w:r>
              <w:rPr>
                <w:b w:val="0"/>
                <w:sz w:val="19"/>
              </w:rPr>
              <w:t>F14</w:t>
            </w:r>
          </w:p>
        </w:tc>
        <w:tc>
          <w:tcPr>
            <w:tcW w:type="dxa" w:w="6336"/>
          </w:tcPr>
          <w:p>
            <w:r/>
            <w:r>
              <w:rPr>
                <w:b w:val="0"/>
                <w:sz w:val="19"/>
              </w:rPr>
              <w:t>HR security policy (screening, onboarding, offboarding, disciplinary)</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HR</w:t>
            </w:r>
          </w:p>
        </w:tc>
      </w:tr>
      <w:tr>
        <w:tc>
          <w:tcPr>
            <w:tcW w:type="dxa" w:w="720"/>
            <w:shd w:val="clear" w:fill="EEF3F6"/>
          </w:tcPr>
          <w:p>
            <w:pPr>
              <w:jc w:val="center"/>
            </w:pPr>
            <w:r/>
            <w:r>
              <w:rPr>
                <w:b w:val="0"/>
                <w:sz w:val="19"/>
              </w:rPr>
              <w:t>F15</w:t>
            </w:r>
          </w:p>
        </w:tc>
        <w:tc>
          <w:tcPr>
            <w:tcW w:type="dxa" w:w="6336"/>
            <w:shd w:val="clear" w:fill="EEF3F6"/>
          </w:tcPr>
          <w:p>
            <w:r/>
            <w:r>
              <w:rPr>
                <w:b w:val="0"/>
                <w:sz w:val="19"/>
              </w:rPr>
              <w:t>Cryptography / key-management policy</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F16</w:t>
            </w:r>
          </w:p>
        </w:tc>
        <w:tc>
          <w:tcPr>
            <w:tcW w:type="dxa" w:w="6336"/>
          </w:tcPr>
          <w:p>
            <w:r/>
            <w:r>
              <w:rPr>
                <w:b w:val="0"/>
                <w:sz w:val="19"/>
              </w:rPr>
              <w:t>Secure development policy &amp; guidelines</w:t>
            </w:r>
          </w:p>
        </w:tc>
        <w:tc>
          <w:tcPr>
            <w:tcW w:type="dxa" w:w="1368"/>
            <w:shd w:val="clear" w:fill="FCF3DA"/>
          </w:tcPr>
          <w:p>
            <w:pPr>
              <w:jc w:val="center"/>
            </w:pPr>
            <w:r/>
            <w:r>
              <w:rPr>
                <w:b w:val="0"/>
                <w:sz w:val="19"/>
              </w:rPr>
              <w:t>Partial</w:t>
            </w:r>
          </w:p>
        </w:tc>
        <w:tc>
          <w:tcPr>
            <w:tcW w:type="dxa" w:w="1080"/>
          </w:tcPr>
          <w:p>
            <w:pPr>
              <w:jc w:val="center"/>
            </w:pPr>
            <w:r/>
            <w:r>
              <w:rPr>
                <w:b w:val="0"/>
                <w:sz w:val="19"/>
              </w:rPr>
              <w:t>P2</w:t>
            </w:r>
          </w:p>
        </w:tc>
        <w:tc>
          <w:tcPr>
            <w:tcW w:type="dxa" w:w="1296"/>
          </w:tcPr>
          <w:p>
            <w:r/>
            <w:r>
              <w:rPr>
                <w:b w:val="0"/>
                <w:sz w:val="19"/>
              </w:rPr>
              <w:t>CTO</w:t>
            </w:r>
          </w:p>
        </w:tc>
      </w:tr>
    </w:tbl>
    <w:p/>
    <w:p>
      <w:r>
        <w:rPr>
          <w:b/>
          <w:color w:val="0E7C86"/>
          <w:sz w:val="25"/>
        </w:rPr>
        <w:t>2.3  Risk &amp; asset management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F17</w:t>
            </w:r>
          </w:p>
        </w:tc>
        <w:tc>
          <w:tcPr>
            <w:tcW w:type="dxa" w:w="6336"/>
          </w:tcPr>
          <w:p>
            <w:r/>
            <w:r>
              <w:rPr>
                <w:b w:val="0"/>
                <w:sz w:val="19"/>
              </w:rPr>
              <w:t>Asset inventory (systems, data stores, endpoints, SaaS, repositories, domains)</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F18</w:t>
            </w:r>
          </w:p>
        </w:tc>
        <w:tc>
          <w:tcPr>
            <w:tcW w:type="dxa" w:w="6336"/>
            <w:shd w:val="clear" w:fill="EEF3F6"/>
          </w:tcPr>
          <w:p>
            <w:r/>
            <w:r>
              <w:rPr>
                <w:b w:val="0"/>
                <w:sz w:val="19"/>
              </w:rPr>
              <w:t>Data map / data flow diagram incl. personal data and AI training/inference data</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F19</w:t>
            </w:r>
          </w:p>
        </w:tc>
        <w:tc>
          <w:tcPr>
            <w:tcW w:type="dxa" w:w="6336"/>
          </w:tcPr>
          <w:p>
            <w:r/>
            <w:r>
              <w:rPr>
                <w:b w:val="0"/>
                <w:sz w:val="19"/>
              </w:rPr>
              <w:t>Risk assessment: identify, analyse, evaluate risks against the scope</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F20</w:t>
            </w:r>
          </w:p>
        </w:tc>
        <w:tc>
          <w:tcPr>
            <w:tcW w:type="dxa" w:w="6336"/>
            <w:shd w:val="clear" w:fill="EEF3F6"/>
          </w:tcPr>
          <w:p>
            <w:r/>
            <w:r>
              <w:rPr>
                <w:b w:val="0"/>
                <w:sz w:val="19"/>
              </w:rPr>
              <w:t>Risk treatment plan (accept / mitigate / transfer / avoid) with owners &amp; dates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Compliance</w:t>
            </w:r>
          </w:p>
        </w:tc>
      </w:tr>
      <w:tr>
        <w:tc>
          <w:tcPr>
            <w:tcW w:type="dxa" w:w="720"/>
          </w:tcPr>
          <w:p>
            <w:pPr>
              <w:jc w:val="center"/>
            </w:pPr>
            <w:r/>
            <w:r>
              <w:rPr>
                <w:b w:val="0"/>
                <w:sz w:val="19"/>
              </w:rPr>
              <w:t>F21</w:t>
            </w:r>
          </w:p>
        </w:tc>
        <w:tc>
          <w:tcPr>
            <w:tcW w:type="dxa" w:w="6336"/>
          </w:tcPr>
          <w:p>
            <w:r/>
            <w:r>
              <w:rPr>
                <w:b w:val="0"/>
                <w:sz w:val="19"/>
              </w:rPr>
              <w:t>Vendor risk register &amp; due-diligence (Supabase, Render, Vercel, Resend, AI providers)</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bl>
    <w:p/>
    <w:p>
      <w:r>
        <w:rPr>
          <w:b/>
          <w:color w:val="0E7C86"/>
          <w:sz w:val="25"/>
        </w:rPr>
        <w:t>2.4  People &amp; operations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F22</w:t>
            </w:r>
          </w:p>
        </w:tc>
        <w:tc>
          <w:tcPr>
            <w:tcW w:type="dxa" w:w="6336"/>
          </w:tcPr>
          <w:p>
            <w:r/>
            <w:r>
              <w:rPr>
                <w:b w:val="0"/>
                <w:sz w:val="19"/>
              </w:rPr>
              <w:t>Background checks / screening for staff with production access</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HR</w:t>
            </w:r>
          </w:p>
        </w:tc>
      </w:tr>
      <w:tr>
        <w:tc>
          <w:tcPr>
            <w:tcW w:type="dxa" w:w="720"/>
            <w:shd w:val="clear" w:fill="EEF3F6"/>
          </w:tcPr>
          <w:p>
            <w:pPr>
              <w:jc w:val="center"/>
            </w:pPr>
            <w:r/>
            <w:r>
              <w:rPr>
                <w:b w:val="0"/>
                <w:sz w:val="19"/>
              </w:rPr>
              <w:t>F23</w:t>
            </w:r>
          </w:p>
        </w:tc>
        <w:tc>
          <w:tcPr>
            <w:tcW w:type="dxa" w:w="6336"/>
            <w:shd w:val="clear" w:fill="EEF3F6"/>
          </w:tcPr>
          <w:p>
            <w:r/>
            <w:r>
              <w:rPr>
                <w:b w:val="0"/>
                <w:sz w:val="19"/>
              </w:rPr>
              <w:t>Security-awareness training for all staff (and evidence of completion)</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HR</w:t>
            </w:r>
          </w:p>
        </w:tc>
      </w:tr>
      <w:tr>
        <w:tc>
          <w:tcPr>
            <w:tcW w:type="dxa" w:w="720"/>
          </w:tcPr>
          <w:p>
            <w:pPr>
              <w:jc w:val="center"/>
            </w:pPr>
            <w:r/>
            <w:r>
              <w:rPr>
                <w:b w:val="0"/>
                <w:sz w:val="19"/>
              </w:rPr>
              <w:t>F24</w:t>
            </w:r>
          </w:p>
        </w:tc>
        <w:tc>
          <w:tcPr>
            <w:tcW w:type="dxa" w:w="6336"/>
          </w:tcPr>
          <w:p>
            <w:r/>
            <w:r>
              <w:rPr>
                <w:b w:val="0"/>
                <w:sz w:val="19"/>
              </w:rPr>
              <w:t>Onboarding &amp; offboarding checklists (access grant/revoke within SLA)</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HR/CTO</w:t>
            </w:r>
          </w:p>
        </w:tc>
      </w:tr>
      <w:tr>
        <w:tc>
          <w:tcPr>
            <w:tcW w:type="dxa" w:w="720"/>
            <w:shd w:val="clear" w:fill="EEF3F6"/>
          </w:tcPr>
          <w:p>
            <w:pPr>
              <w:jc w:val="center"/>
            </w:pPr>
            <w:r/>
            <w:r>
              <w:rPr>
                <w:b w:val="0"/>
                <w:sz w:val="19"/>
              </w:rPr>
              <w:t>F25</w:t>
            </w:r>
          </w:p>
        </w:tc>
        <w:tc>
          <w:tcPr>
            <w:tcW w:type="dxa" w:w="6336"/>
            <w:shd w:val="clear" w:fill="EEF3F6"/>
          </w:tcPr>
          <w:p>
            <w:r/>
            <w:r>
              <w:rPr>
                <w:b w:val="0"/>
                <w:sz w:val="19"/>
              </w:rPr>
              <w:t>Quarterly user access reviews (who has access to what, least privilege)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F26</w:t>
            </w:r>
          </w:p>
        </w:tc>
        <w:tc>
          <w:tcPr>
            <w:tcW w:type="dxa" w:w="6336"/>
          </w:tcPr>
          <w:p>
            <w:r/>
            <w:r>
              <w:rPr>
                <w:b w:val="0"/>
                <w:sz w:val="19"/>
              </w:rPr>
              <w:t>Centralised logging &amp; monitoring with alerting on security events</w:t>
            </w:r>
          </w:p>
        </w:tc>
        <w:tc>
          <w:tcPr>
            <w:tcW w:type="dxa" w:w="1368"/>
            <w:shd w:val="clear" w:fill="FCF3DA"/>
          </w:tcPr>
          <w:p>
            <w:pPr>
              <w:jc w:val="center"/>
            </w:pPr>
            <w:r/>
            <w:r>
              <w:rPr>
                <w:b w:val="0"/>
                <w:sz w:val="19"/>
              </w:rPr>
              <w:t>Partial</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F27</w:t>
            </w:r>
          </w:p>
        </w:tc>
        <w:tc>
          <w:tcPr>
            <w:tcW w:type="dxa" w:w="6336"/>
            <w:shd w:val="clear" w:fill="EEF3F6"/>
          </w:tcPr>
          <w:p>
            <w:r/>
            <w:r>
              <w:rPr>
                <w:b w:val="0"/>
                <w:sz w:val="19"/>
              </w:rPr>
              <w:t>Vulnerability management: dependency scanning, patching cadence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F28</w:t>
            </w:r>
          </w:p>
        </w:tc>
        <w:tc>
          <w:tcPr>
            <w:tcW w:type="dxa" w:w="6336"/>
          </w:tcPr>
          <w:p>
            <w:r/>
            <w:r>
              <w:rPr>
                <w:b w:val="0"/>
                <w:sz w:val="19"/>
              </w:rPr>
              <w:t>Annual penetration test by an external firm</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CTO</w:t>
            </w:r>
          </w:p>
        </w:tc>
      </w:tr>
      <w:tr>
        <w:tc>
          <w:tcPr>
            <w:tcW w:type="dxa" w:w="720"/>
            <w:shd w:val="clear" w:fill="EEF3F6"/>
          </w:tcPr>
          <w:p>
            <w:pPr>
              <w:jc w:val="center"/>
            </w:pPr>
            <w:r/>
            <w:r>
              <w:rPr>
                <w:b w:val="0"/>
                <w:sz w:val="19"/>
              </w:rPr>
              <w:t>F29</w:t>
            </w:r>
          </w:p>
        </w:tc>
        <w:tc>
          <w:tcPr>
            <w:tcW w:type="dxa" w:w="6336"/>
            <w:shd w:val="clear" w:fill="EEF3F6"/>
          </w:tcPr>
          <w:p>
            <w:r/>
            <w:r>
              <w:rPr>
                <w:b w:val="0"/>
                <w:sz w:val="19"/>
              </w:rPr>
              <w:t>Backup &amp; restore procedure, with periodic restore tests</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F30</w:t>
            </w:r>
          </w:p>
        </w:tc>
        <w:tc>
          <w:tcPr>
            <w:tcW w:type="dxa" w:w="6336"/>
          </w:tcPr>
          <w:p>
            <w:r/>
            <w:r>
              <w:rPr>
                <w:b w:val="0"/>
                <w:sz w:val="19"/>
              </w:rPr>
              <w:t>Internal audit of the management system before the external audit</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bl>
    <w:p/>
    <w:p>
      <w:r>
        <w:br w:type="page"/>
      </w:r>
    </w:p>
    <w:p>
      <w:pPr>
        <w:pBdr>
          <w:bottom w:val="single" w:sz="6" w:space="4" w:color="0E7C86"/>
        </w:pBdr>
      </w:pPr>
      <w:r>
        <w:rPr>
          <w:b/>
          <w:color w:val="0F2E4E"/>
          <w:sz w:val="32"/>
        </w:rPr>
        <w:t>3.  SOC 2 — specifics</w:t>
      </w:r>
    </w:p>
    <w:p>
      <w:r>
        <w:rPr>
          <w:i w:val="0"/>
          <w:sz w:val="21"/>
        </w:rPr>
        <w:t>SOC 2 is organised around the Trust Services Criteria. Security (the Common Criteria, CC1–CC9) is mandatory; add Availability and Confidentiality (both highly relevant to a SaaS handling client employee data), and consider Privacy. Below are the SOC-2-specific tasks beyond the shared foundation in Section 2.</w:t>
      </w:r>
    </w:p>
    <w:p>
      <w:r>
        <w:rPr>
          <w:b/>
          <w:color w:val="0E7C86"/>
          <w:sz w:val="25"/>
        </w:rPr>
        <w:t>3.1  Common Criteria coverage (CC1–CC9)</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S1</w:t>
            </w:r>
          </w:p>
        </w:tc>
        <w:tc>
          <w:tcPr>
            <w:tcW w:type="dxa" w:w="6336"/>
          </w:tcPr>
          <w:p>
            <w:r/>
            <w:r>
              <w:rPr>
                <w:b w:val="0"/>
                <w:sz w:val="19"/>
              </w:rPr>
              <w:t>CC1 Control Environment: org chart, roles, code of conduct, board/mgmt oversight</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CEO</w:t>
            </w:r>
          </w:p>
        </w:tc>
      </w:tr>
      <w:tr>
        <w:tc>
          <w:tcPr>
            <w:tcW w:type="dxa" w:w="720"/>
            <w:shd w:val="clear" w:fill="EEF3F6"/>
          </w:tcPr>
          <w:p>
            <w:pPr>
              <w:jc w:val="center"/>
            </w:pPr>
            <w:r/>
            <w:r>
              <w:rPr>
                <w:b w:val="0"/>
                <w:sz w:val="19"/>
              </w:rPr>
              <w:t>S2</w:t>
            </w:r>
          </w:p>
        </w:tc>
        <w:tc>
          <w:tcPr>
            <w:tcW w:type="dxa" w:w="6336"/>
            <w:shd w:val="clear" w:fill="EEF3F6"/>
          </w:tcPr>
          <w:p>
            <w:r/>
            <w:r>
              <w:rPr>
                <w:b w:val="0"/>
                <w:sz w:val="19"/>
              </w:rPr>
              <w:t>CC2 Communication &amp; Information: security commitments published to staff &amp; customers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Compliance</w:t>
            </w:r>
          </w:p>
        </w:tc>
      </w:tr>
      <w:tr>
        <w:tc>
          <w:tcPr>
            <w:tcW w:type="dxa" w:w="720"/>
          </w:tcPr>
          <w:p>
            <w:pPr>
              <w:jc w:val="center"/>
            </w:pPr>
            <w:r/>
            <w:r>
              <w:rPr>
                <w:b w:val="0"/>
                <w:sz w:val="19"/>
              </w:rPr>
              <w:t>S3</w:t>
            </w:r>
          </w:p>
        </w:tc>
        <w:tc>
          <w:tcPr>
            <w:tcW w:type="dxa" w:w="6336"/>
          </w:tcPr>
          <w:p>
            <w:r/>
            <w:r>
              <w:rPr>
                <w:b w:val="0"/>
                <w:sz w:val="19"/>
              </w:rPr>
              <w:t>CC3 Risk Assessment: formal, documented, refreshed at least annually (see F19)</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S4</w:t>
            </w:r>
          </w:p>
        </w:tc>
        <w:tc>
          <w:tcPr>
            <w:tcW w:type="dxa" w:w="6336"/>
            <w:shd w:val="clear" w:fill="EEF3F6"/>
          </w:tcPr>
          <w:p>
            <w:r/>
            <w:r>
              <w:rPr>
                <w:b w:val="0"/>
                <w:sz w:val="19"/>
              </w:rPr>
              <w:t>CC4 Monitoring: continuous control monitoring + periodic evaluations</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S5</w:t>
            </w:r>
          </w:p>
        </w:tc>
        <w:tc>
          <w:tcPr>
            <w:tcW w:type="dxa" w:w="6336"/>
          </w:tcPr>
          <w:p>
            <w:r/>
            <w:r>
              <w:rPr>
                <w:b w:val="0"/>
                <w:sz w:val="19"/>
              </w:rPr>
              <w:t>CC5 Control Activities: controls mapped to risks, documented</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S6</w:t>
            </w:r>
          </w:p>
        </w:tc>
        <w:tc>
          <w:tcPr>
            <w:tcW w:type="dxa" w:w="6336"/>
            <w:shd w:val="clear" w:fill="EEF3F6"/>
          </w:tcPr>
          <w:p>
            <w:r/>
            <w:r>
              <w:rPr>
                <w:b w:val="0"/>
                <w:sz w:val="19"/>
              </w:rPr>
              <w:t>CC6 Logical &amp; Physical Access: MFA, RBAC, provisioning, encryption, tenant isolation</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S7</w:t>
            </w:r>
          </w:p>
        </w:tc>
        <w:tc>
          <w:tcPr>
            <w:tcW w:type="dxa" w:w="6336"/>
          </w:tcPr>
          <w:p>
            <w:r/>
            <w:r>
              <w:rPr>
                <w:b w:val="0"/>
                <w:sz w:val="19"/>
              </w:rPr>
              <w:t>CC7 System Operations: monitoring, incident detection &amp; response, change tracking</w:t>
            </w:r>
          </w:p>
        </w:tc>
        <w:tc>
          <w:tcPr>
            <w:tcW w:type="dxa" w:w="1368"/>
            <w:shd w:val="clear" w:fill="FCF3DA"/>
          </w:tcPr>
          <w:p>
            <w:pPr>
              <w:jc w:val="center"/>
            </w:pPr>
            <w:r/>
            <w:r>
              <w:rPr>
                <w:b w:val="0"/>
                <w:sz w:val="19"/>
              </w:rPr>
              <w:t>Partial</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S8</w:t>
            </w:r>
          </w:p>
        </w:tc>
        <w:tc>
          <w:tcPr>
            <w:tcW w:type="dxa" w:w="6336"/>
            <w:shd w:val="clear" w:fill="EEF3F6"/>
          </w:tcPr>
          <w:p>
            <w:r/>
            <w:r>
              <w:rPr>
                <w:b w:val="0"/>
                <w:sz w:val="19"/>
              </w:rPr>
              <w:t>CC8 Change Management: SDLC controls, approvals, testing, rollback</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S9</w:t>
            </w:r>
          </w:p>
        </w:tc>
        <w:tc>
          <w:tcPr>
            <w:tcW w:type="dxa" w:w="6336"/>
          </w:tcPr>
          <w:p>
            <w:r/>
            <w:r>
              <w:rPr>
                <w:b w:val="0"/>
                <w:sz w:val="19"/>
              </w:rPr>
              <w:t>CC9 Risk Mitigation: vendor risk, business disruption, insurance</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bl>
    <w:p/>
    <w:p>
      <w:r>
        <w:rPr>
          <w:b/>
          <w:color w:val="0E7C86"/>
          <w:sz w:val="25"/>
        </w:rPr>
        <w:t>3.2  SOC 2 process tasks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S10</w:t>
            </w:r>
          </w:p>
        </w:tc>
        <w:tc>
          <w:tcPr>
            <w:tcW w:type="dxa" w:w="6336"/>
          </w:tcPr>
          <w:p>
            <w:r/>
            <w:r>
              <w:rPr>
                <w:b w:val="0"/>
                <w:sz w:val="19"/>
              </w:rPr>
              <w:t>Decide category scope (Security + Availability + Confidentiality recommended)</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S11</w:t>
            </w:r>
          </w:p>
        </w:tc>
        <w:tc>
          <w:tcPr>
            <w:tcW w:type="dxa" w:w="6336"/>
            <w:shd w:val="clear" w:fill="EEF3F6"/>
          </w:tcPr>
          <w:p>
            <w:r/>
            <w:r>
              <w:rPr>
                <w:b w:val="0"/>
                <w:sz w:val="19"/>
              </w:rPr>
              <w:t>Draft the System Description (the narrative the SOC 2 report is built on)</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Compliance</w:t>
            </w:r>
          </w:p>
        </w:tc>
      </w:tr>
      <w:tr>
        <w:tc>
          <w:tcPr>
            <w:tcW w:type="dxa" w:w="720"/>
          </w:tcPr>
          <w:p>
            <w:pPr>
              <w:jc w:val="center"/>
            </w:pPr>
            <w:r/>
            <w:r>
              <w:rPr>
                <w:b w:val="0"/>
                <w:sz w:val="19"/>
              </w:rPr>
              <w:t>S12</w:t>
            </w:r>
          </w:p>
        </w:tc>
        <w:tc>
          <w:tcPr>
            <w:tcW w:type="dxa" w:w="6336"/>
          </w:tcPr>
          <w:p>
            <w:r/>
            <w:r>
              <w:rPr>
                <w:b w:val="0"/>
                <w:sz w:val="19"/>
              </w:rPr>
              <w:t>Readiness assessment / gap analysis with the CPA firm</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S13</w:t>
            </w:r>
          </w:p>
        </w:tc>
        <w:tc>
          <w:tcPr>
            <w:tcW w:type="dxa" w:w="6336"/>
            <w:shd w:val="clear" w:fill="EEF3F6"/>
          </w:tcPr>
          <w:p>
            <w:r/>
            <w:r>
              <w:rPr>
                <w:b w:val="0"/>
                <w:sz w:val="19"/>
              </w:rPr>
              <w:t>Type I audit (design of controls at a point in time)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External</w:t>
            </w:r>
          </w:p>
        </w:tc>
      </w:tr>
      <w:tr>
        <w:tc>
          <w:tcPr>
            <w:tcW w:type="dxa" w:w="720"/>
          </w:tcPr>
          <w:p>
            <w:pPr>
              <w:jc w:val="center"/>
            </w:pPr>
            <w:r/>
            <w:r>
              <w:rPr>
                <w:b w:val="0"/>
                <w:sz w:val="19"/>
              </w:rPr>
              <w:t>S14</w:t>
            </w:r>
          </w:p>
        </w:tc>
        <w:tc>
          <w:tcPr>
            <w:tcW w:type="dxa" w:w="6336"/>
          </w:tcPr>
          <w:p>
            <w:r/>
            <w:r>
              <w:rPr>
                <w:b w:val="0"/>
                <w:sz w:val="19"/>
              </w:rPr>
              <w:t>Operate controls &amp; collect evidence over the observation window (6–12 months)</w:t>
            </w:r>
          </w:p>
        </w:tc>
        <w:tc>
          <w:tcPr>
            <w:tcW w:type="dxa" w:w="1368"/>
            <w:shd w:val="clear" w:fill="FBE7E7"/>
          </w:tcPr>
          <w:p>
            <w:pPr>
              <w:jc w:val="center"/>
            </w:pPr>
            <w:r/>
            <w:r>
              <w:rPr>
                <w:b w:val="0"/>
                <w:sz w:val="19"/>
              </w:rPr>
              <w:t>Not started</w:t>
            </w:r>
          </w:p>
        </w:tc>
        <w:tc>
          <w:tcPr>
            <w:tcW w:type="dxa" w:w="1080"/>
          </w:tcPr>
          <w:p>
            <w:pPr>
              <w:jc w:val="center"/>
            </w:pPr>
            <w:r/>
            <w:r>
              <w:rPr>
                <w:b w:val="0"/>
                <w:sz w:val="19"/>
              </w:rPr>
              <w:t>P3</w:t>
            </w:r>
          </w:p>
        </w:tc>
        <w:tc>
          <w:tcPr>
            <w:tcW w:type="dxa" w:w="1296"/>
          </w:tcPr>
          <w:p>
            <w:r/>
            <w:r>
              <w:rPr>
                <w:b w:val="0"/>
                <w:sz w:val="19"/>
              </w:rPr>
              <w:t>All</w:t>
            </w:r>
          </w:p>
        </w:tc>
      </w:tr>
      <w:tr>
        <w:tc>
          <w:tcPr>
            <w:tcW w:type="dxa" w:w="720"/>
            <w:shd w:val="clear" w:fill="EEF3F6"/>
          </w:tcPr>
          <w:p>
            <w:pPr>
              <w:jc w:val="center"/>
            </w:pPr>
            <w:r/>
            <w:r>
              <w:rPr>
                <w:b w:val="0"/>
                <w:sz w:val="19"/>
              </w:rPr>
              <w:t>S15</w:t>
            </w:r>
          </w:p>
        </w:tc>
        <w:tc>
          <w:tcPr>
            <w:tcW w:type="dxa" w:w="6336"/>
            <w:shd w:val="clear" w:fill="EEF3F6"/>
          </w:tcPr>
          <w:p>
            <w:r/>
            <w:r>
              <w:rPr>
                <w:b w:val="0"/>
                <w:sz w:val="19"/>
              </w:rPr>
              <w:t>Type II audit &amp; report issuance; plan annual renewal</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P3</w:t>
            </w:r>
          </w:p>
        </w:tc>
        <w:tc>
          <w:tcPr>
            <w:tcW w:type="dxa" w:w="1296"/>
            <w:shd w:val="clear" w:fill="EEF3F6"/>
          </w:tcPr>
          <w:p>
            <w:r/>
            <w:r>
              <w:rPr>
                <w:b w:val="0"/>
                <w:sz w:val="19"/>
              </w:rPr>
              <w:t>External</w:t>
            </w:r>
          </w:p>
        </w:tc>
      </w:tr>
    </w:tbl>
    <w:p/>
    <w:p>
      <w:pPr>
        <w:pBdr>
          <w:bottom w:val="single" w:sz="6" w:space="4" w:color="0E7C86"/>
        </w:pBdr>
      </w:pPr>
      <w:r>
        <w:rPr>
          <w:b/>
          <w:color w:val="0F2E4E"/>
          <w:sz w:val="32"/>
        </w:rPr>
        <w:t>4.  ISO/IEC 27001:2022 — specifics</w:t>
      </w:r>
    </w:p>
    <w:p>
      <w:r>
        <w:rPr>
          <w:i w:val="0"/>
          <w:sz w:val="21"/>
        </w:rPr>
        <w:t>27001 certifies a management system. Clauses 4–10 are mandatory and largely covered by Section 2. The differentiators are the Statement of Applicability against the 93 Annex A controls, the risk-treatment linkage, and the two-stage certification audit.</w:t>
      </w:r>
    </w:p>
    <w:p>
      <w:r>
        <w:rPr>
          <w:b/>
          <w:color w:val="0E7C86"/>
          <w:sz w:val="25"/>
        </w:rPr>
        <w:t>4.1  Mandatory ISMS clauses (4–10)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I1</w:t>
            </w:r>
          </w:p>
        </w:tc>
        <w:tc>
          <w:tcPr>
            <w:tcW w:type="dxa" w:w="6336"/>
          </w:tcPr>
          <w:p>
            <w:r/>
            <w:r>
              <w:rPr>
                <w:b w:val="0"/>
                <w:sz w:val="19"/>
              </w:rPr>
              <w:t>Clause 4 Context: interested parties, ISMS scope statement</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I2</w:t>
            </w:r>
          </w:p>
        </w:tc>
        <w:tc>
          <w:tcPr>
            <w:tcW w:type="dxa" w:w="6336"/>
            <w:shd w:val="clear" w:fill="EEF3F6"/>
          </w:tcPr>
          <w:p>
            <w:r/>
            <w:r>
              <w:rPr>
                <w:b w:val="0"/>
                <w:sz w:val="19"/>
              </w:rPr>
              <w:t>Clause 5 Leadership: policy, roles &amp; responsibilities, management commitment</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CEO</w:t>
            </w:r>
          </w:p>
        </w:tc>
      </w:tr>
      <w:tr>
        <w:tc>
          <w:tcPr>
            <w:tcW w:type="dxa" w:w="720"/>
          </w:tcPr>
          <w:p>
            <w:pPr>
              <w:jc w:val="center"/>
            </w:pPr>
            <w:r/>
            <w:r>
              <w:rPr>
                <w:b w:val="0"/>
                <w:sz w:val="19"/>
              </w:rPr>
              <w:t>I3</w:t>
            </w:r>
          </w:p>
        </w:tc>
        <w:tc>
          <w:tcPr>
            <w:tcW w:type="dxa" w:w="6336"/>
          </w:tcPr>
          <w:p>
            <w:r/>
            <w:r>
              <w:rPr>
                <w:b w:val="0"/>
                <w:sz w:val="19"/>
              </w:rPr>
              <w:t>Clause 6 Planning: risk assessment &amp; treatment, ISMS objectives</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I4</w:t>
            </w:r>
          </w:p>
        </w:tc>
        <w:tc>
          <w:tcPr>
            <w:tcW w:type="dxa" w:w="6336"/>
            <w:shd w:val="clear" w:fill="EEF3F6"/>
          </w:tcPr>
          <w:p>
            <w:r/>
            <w:r>
              <w:rPr>
                <w:b w:val="0"/>
                <w:sz w:val="19"/>
              </w:rPr>
              <w:t>Clause 6 Statement of Applicability (SoA): justify inclusion/exclusion of all 93 controls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Compliance</w:t>
            </w:r>
          </w:p>
        </w:tc>
      </w:tr>
      <w:tr>
        <w:tc>
          <w:tcPr>
            <w:tcW w:type="dxa" w:w="720"/>
          </w:tcPr>
          <w:p>
            <w:pPr>
              <w:jc w:val="center"/>
            </w:pPr>
            <w:r/>
            <w:r>
              <w:rPr>
                <w:b w:val="0"/>
                <w:sz w:val="19"/>
              </w:rPr>
              <w:t>I5</w:t>
            </w:r>
          </w:p>
        </w:tc>
        <w:tc>
          <w:tcPr>
            <w:tcW w:type="dxa" w:w="6336"/>
          </w:tcPr>
          <w:p>
            <w:r/>
            <w:r>
              <w:rPr>
                <w:b w:val="0"/>
                <w:sz w:val="19"/>
              </w:rPr>
              <w:t>Clause 7 Support: resources, competence, awareness, documented information control</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I6</w:t>
            </w:r>
          </w:p>
        </w:tc>
        <w:tc>
          <w:tcPr>
            <w:tcW w:type="dxa" w:w="6336"/>
            <w:shd w:val="clear" w:fill="EEF3F6"/>
          </w:tcPr>
          <w:p>
            <w:r/>
            <w:r>
              <w:rPr>
                <w:b w:val="0"/>
                <w:sz w:val="19"/>
              </w:rPr>
              <w:t>Clause 8 Operation: execute the risk treatment plan</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I7</w:t>
            </w:r>
          </w:p>
        </w:tc>
        <w:tc>
          <w:tcPr>
            <w:tcW w:type="dxa" w:w="6336"/>
          </w:tcPr>
          <w:p>
            <w:r/>
            <w:r>
              <w:rPr>
                <w:b w:val="0"/>
                <w:sz w:val="19"/>
              </w:rPr>
              <w:t>Clause 9 Performance evaluation: metrics, internal audit, management review</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I8</w:t>
            </w:r>
          </w:p>
        </w:tc>
        <w:tc>
          <w:tcPr>
            <w:tcW w:type="dxa" w:w="6336"/>
            <w:shd w:val="clear" w:fill="EEF3F6"/>
          </w:tcPr>
          <w:p>
            <w:r/>
            <w:r>
              <w:rPr>
                <w:b w:val="0"/>
                <w:sz w:val="19"/>
              </w:rPr>
              <w:t>Clause 10 Improvement: nonconformities, corrective actions, continual improvement</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P3</w:t>
            </w:r>
          </w:p>
        </w:tc>
        <w:tc>
          <w:tcPr>
            <w:tcW w:type="dxa" w:w="1296"/>
            <w:shd w:val="clear" w:fill="EEF3F6"/>
          </w:tcPr>
          <w:p>
            <w:r/>
            <w:r>
              <w:rPr>
                <w:b w:val="0"/>
                <w:sz w:val="19"/>
              </w:rPr>
              <w:t>Compliance</w:t>
            </w:r>
          </w:p>
        </w:tc>
      </w:tr>
    </w:tbl>
    <w:p/>
    <w:p>
      <w:r>
        <w:rPr>
          <w:b/>
          <w:color w:val="0E7C86"/>
          <w:sz w:val="25"/>
        </w:rPr>
        <w:t>4.2  Annex A control themes (93 controls) — areas needing attention</w:t>
      </w:r>
    </w:p>
    <w:p>
      <w:r>
        <w:rPr>
          <w:i w:val="0"/>
          <w:sz w:val="20"/>
        </w:rPr>
        <w:t>Most Annex A controls are addressed by Section 2 policies plus existing technical controls. The themes and the notable gaps for Vlumeaware: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I9</w:t>
            </w:r>
          </w:p>
        </w:tc>
        <w:tc>
          <w:tcPr>
            <w:tcW w:type="dxa" w:w="6336"/>
          </w:tcPr>
          <w:p>
            <w:r/>
            <w:r>
              <w:rPr>
                <w:b w:val="0"/>
                <w:sz w:val="19"/>
              </w:rPr>
              <w:t>A.5 Organizational (37): policies, roles, supplier &amp; cloud security, threat intel, incident mgmt</w:t>
            </w:r>
          </w:p>
        </w:tc>
        <w:tc>
          <w:tcPr>
            <w:tcW w:type="dxa" w:w="1368"/>
            <w:shd w:val="clear" w:fill="FCF3DA"/>
          </w:tcPr>
          <w:p>
            <w:pPr>
              <w:jc w:val="center"/>
            </w:pPr>
            <w:r/>
            <w:r>
              <w:rPr>
                <w:b w:val="0"/>
                <w:sz w:val="19"/>
              </w:rPr>
              <w:t>Partial</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I10</w:t>
            </w:r>
          </w:p>
        </w:tc>
        <w:tc>
          <w:tcPr>
            <w:tcW w:type="dxa" w:w="6336"/>
            <w:shd w:val="clear" w:fill="EEF3F6"/>
          </w:tcPr>
          <w:p>
            <w:r/>
            <w:r>
              <w:rPr>
                <w:b w:val="0"/>
                <w:sz w:val="19"/>
              </w:rPr>
              <w:t>A.6 People (8): screening, terms, awareness, disciplinary, remote working</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HR</w:t>
            </w:r>
          </w:p>
        </w:tc>
      </w:tr>
      <w:tr>
        <w:tc>
          <w:tcPr>
            <w:tcW w:type="dxa" w:w="720"/>
          </w:tcPr>
          <w:p>
            <w:pPr>
              <w:jc w:val="center"/>
            </w:pPr>
            <w:r/>
            <w:r>
              <w:rPr>
                <w:b w:val="0"/>
                <w:sz w:val="19"/>
              </w:rPr>
              <w:t>I11</w:t>
            </w:r>
          </w:p>
        </w:tc>
        <w:tc>
          <w:tcPr>
            <w:tcW w:type="dxa" w:w="6336"/>
          </w:tcPr>
          <w:p>
            <w:r/>
            <w:r>
              <w:rPr>
                <w:b w:val="0"/>
                <w:sz w:val="19"/>
              </w:rPr>
              <w:t>A.7 Physical (14): mostly inherited from cloud providers; document responsibility split</w:t>
            </w:r>
          </w:p>
        </w:tc>
        <w:tc>
          <w:tcPr>
            <w:tcW w:type="dxa" w:w="1368"/>
            <w:shd w:val="clear" w:fill="FCF3DA"/>
          </w:tcPr>
          <w:p>
            <w:pPr>
              <w:jc w:val="center"/>
            </w:pPr>
            <w:r/>
            <w:r>
              <w:rPr>
                <w:b w:val="0"/>
                <w:sz w:val="19"/>
              </w:rPr>
              <w:t>Partial</w:t>
            </w:r>
          </w:p>
        </w:tc>
        <w:tc>
          <w:tcPr>
            <w:tcW w:type="dxa" w:w="1080"/>
          </w:tcPr>
          <w:p>
            <w:pPr>
              <w:jc w:val="center"/>
            </w:pPr>
            <w:r/>
            <w:r>
              <w:rPr>
                <w:b w:val="0"/>
                <w:sz w:val="19"/>
              </w:rPr>
              <w:t>P3</w:t>
            </w:r>
          </w:p>
        </w:tc>
        <w:tc>
          <w:tcPr>
            <w:tcW w:type="dxa" w:w="1296"/>
          </w:tcPr>
          <w:p>
            <w:r/>
            <w:r>
              <w:rPr>
                <w:b w:val="0"/>
                <w:sz w:val="19"/>
              </w:rPr>
              <w:t>CTO</w:t>
            </w:r>
          </w:p>
        </w:tc>
      </w:tr>
      <w:tr>
        <w:tc>
          <w:tcPr>
            <w:tcW w:type="dxa" w:w="720"/>
            <w:shd w:val="clear" w:fill="EEF3F6"/>
          </w:tcPr>
          <w:p>
            <w:pPr>
              <w:jc w:val="center"/>
            </w:pPr>
            <w:r/>
            <w:r>
              <w:rPr>
                <w:b w:val="0"/>
                <w:sz w:val="19"/>
              </w:rPr>
              <w:t>I12</w:t>
            </w:r>
          </w:p>
        </w:tc>
        <w:tc>
          <w:tcPr>
            <w:tcW w:type="dxa" w:w="6336"/>
            <w:shd w:val="clear" w:fill="EEF3F6"/>
          </w:tcPr>
          <w:p>
            <w:r/>
            <w:r>
              <w:rPr>
                <w:b w:val="0"/>
                <w:sz w:val="19"/>
              </w:rPr>
              <w:t>A.8 Technological (34): access control, crypto, logging, secure dev, change, backup, DLP</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I13</w:t>
            </w:r>
          </w:p>
        </w:tc>
        <w:tc>
          <w:tcPr>
            <w:tcW w:type="dxa" w:w="6336"/>
          </w:tcPr>
          <w:p>
            <w:r/>
            <w:r>
              <w:rPr>
                <w:b w:val="0"/>
                <w:sz w:val="19"/>
              </w:rPr>
              <w:t>Gap: cryptography &amp; key management formalised (A.8.24) + secrets rotation</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I14</w:t>
            </w:r>
          </w:p>
        </w:tc>
        <w:tc>
          <w:tcPr>
            <w:tcW w:type="dxa" w:w="6336"/>
            <w:shd w:val="clear" w:fill="EEF3F6"/>
          </w:tcPr>
          <w:p>
            <w:r/>
            <w:r>
              <w:rPr>
                <w:b w:val="0"/>
                <w:sz w:val="19"/>
              </w:rPr>
              <w:t>Gap: secure development lifecycle evidence (A.8.25–A.8.31) — reviews, testing, separation</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I15</w:t>
            </w:r>
          </w:p>
        </w:tc>
        <w:tc>
          <w:tcPr>
            <w:tcW w:type="dxa" w:w="6336"/>
          </w:tcPr>
          <w:p>
            <w:r/>
            <w:r>
              <w:rPr>
                <w:b w:val="0"/>
                <w:sz w:val="19"/>
              </w:rPr>
              <w:t>Gap: logging monitored &amp; protected from tampering (A.8.15–A.8.16)</w:t>
            </w:r>
          </w:p>
        </w:tc>
        <w:tc>
          <w:tcPr>
            <w:tcW w:type="dxa" w:w="1368"/>
            <w:shd w:val="clear" w:fill="FCF3DA"/>
          </w:tcPr>
          <w:p>
            <w:pPr>
              <w:jc w:val="center"/>
            </w:pPr>
            <w:r/>
            <w:r>
              <w:rPr>
                <w:b w:val="0"/>
                <w:sz w:val="19"/>
              </w:rPr>
              <w:t>Partial</w:t>
            </w:r>
          </w:p>
        </w:tc>
        <w:tc>
          <w:tcPr>
            <w:tcW w:type="dxa" w:w="1080"/>
          </w:tcPr>
          <w:p>
            <w:pPr>
              <w:jc w:val="center"/>
            </w:pPr>
            <w:r/>
            <w:r>
              <w:rPr>
                <w:b w:val="0"/>
                <w:sz w:val="19"/>
              </w:rPr>
              <w:t>P1</w:t>
            </w:r>
          </w:p>
        </w:tc>
        <w:tc>
          <w:tcPr>
            <w:tcW w:type="dxa" w:w="1296"/>
          </w:tcPr>
          <w:p>
            <w:r/>
            <w:r>
              <w:rPr>
                <w:b w:val="0"/>
                <w:sz w:val="19"/>
              </w:rPr>
              <w:t>CTO</w:t>
            </w:r>
          </w:p>
        </w:tc>
      </w:tr>
    </w:tbl>
    <w:p/>
    <w:p>
      <w:r>
        <w:rPr>
          <w:b/>
          <w:color w:val="0E7C86"/>
          <w:sz w:val="25"/>
        </w:rPr>
        <w:t>4.3  Certification process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I16</w:t>
            </w:r>
          </w:p>
        </w:tc>
        <w:tc>
          <w:tcPr>
            <w:tcW w:type="dxa" w:w="6336"/>
          </w:tcPr>
          <w:p>
            <w:r/>
            <w:r>
              <w:rPr>
                <w:b w:val="0"/>
                <w:sz w:val="19"/>
              </w:rPr>
              <w:t>Run the ISMS for a minimum period (~3 months of records) before Stage 2</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I17</w:t>
            </w:r>
          </w:p>
        </w:tc>
        <w:tc>
          <w:tcPr>
            <w:tcW w:type="dxa" w:w="6336"/>
            <w:shd w:val="clear" w:fill="EEF3F6"/>
          </w:tcPr>
          <w:p>
            <w:r/>
            <w:r>
              <w:rPr>
                <w:b w:val="0"/>
                <w:sz w:val="19"/>
              </w:rPr>
              <w:t>Internal audit + management review completed (mandatory before certification)</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Compliance</w:t>
            </w:r>
          </w:p>
        </w:tc>
      </w:tr>
      <w:tr>
        <w:tc>
          <w:tcPr>
            <w:tcW w:type="dxa" w:w="720"/>
          </w:tcPr>
          <w:p>
            <w:pPr>
              <w:jc w:val="center"/>
            </w:pPr>
            <w:r/>
            <w:r>
              <w:rPr>
                <w:b w:val="0"/>
                <w:sz w:val="19"/>
              </w:rPr>
              <w:t>I18</w:t>
            </w:r>
          </w:p>
        </w:tc>
        <w:tc>
          <w:tcPr>
            <w:tcW w:type="dxa" w:w="6336"/>
          </w:tcPr>
          <w:p>
            <w:r/>
            <w:r>
              <w:rPr>
                <w:b w:val="0"/>
                <w:sz w:val="19"/>
              </w:rPr>
              <w:t>Stage 1 audit (documentation review) by accredited body</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External</w:t>
            </w:r>
          </w:p>
        </w:tc>
      </w:tr>
      <w:tr>
        <w:tc>
          <w:tcPr>
            <w:tcW w:type="dxa" w:w="720"/>
            <w:shd w:val="clear" w:fill="EEF3F6"/>
          </w:tcPr>
          <w:p>
            <w:pPr>
              <w:jc w:val="center"/>
            </w:pPr>
            <w:r/>
            <w:r>
              <w:rPr>
                <w:b w:val="0"/>
                <w:sz w:val="19"/>
              </w:rPr>
              <w:t>I19</w:t>
            </w:r>
          </w:p>
        </w:tc>
        <w:tc>
          <w:tcPr>
            <w:tcW w:type="dxa" w:w="6336"/>
            <w:shd w:val="clear" w:fill="EEF3F6"/>
          </w:tcPr>
          <w:p>
            <w:r/>
            <w:r>
              <w:rPr>
                <w:b w:val="0"/>
                <w:sz w:val="19"/>
              </w:rPr>
              <w:t>Stage 2 audit (implementation &amp; effectiveness); close any nonconformities</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P3</w:t>
            </w:r>
          </w:p>
        </w:tc>
        <w:tc>
          <w:tcPr>
            <w:tcW w:type="dxa" w:w="1296"/>
            <w:shd w:val="clear" w:fill="EEF3F6"/>
          </w:tcPr>
          <w:p>
            <w:r/>
            <w:r>
              <w:rPr>
                <w:b w:val="0"/>
                <w:sz w:val="19"/>
              </w:rPr>
              <w:t>External</w:t>
            </w:r>
          </w:p>
        </w:tc>
      </w:tr>
      <w:tr>
        <w:tc>
          <w:tcPr>
            <w:tcW w:type="dxa" w:w="720"/>
          </w:tcPr>
          <w:p>
            <w:pPr>
              <w:jc w:val="center"/>
            </w:pPr>
            <w:r/>
            <w:r>
              <w:rPr>
                <w:b w:val="0"/>
                <w:sz w:val="19"/>
              </w:rPr>
              <w:t>I20</w:t>
            </w:r>
          </w:p>
        </w:tc>
        <w:tc>
          <w:tcPr>
            <w:tcW w:type="dxa" w:w="6336"/>
          </w:tcPr>
          <w:p>
            <w:r/>
            <w:r>
              <w:rPr>
                <w:b w:val="0"/>
                <w:sz w:val="19"/>
              </w:rPr>
              <w:t>Certificate issued (3-year cycle); annual surveillance audits</w:t>
            </w:r>
          </w:p>
        </w:tc>
        <w:tc>
          <w:tcPr>
            <w:tcW w:type="dxa" w:w="1368"/>
            <w:shd w:val="clear" w:fill="FBE7E7"/>
          </w:tcPr>
          <w:p>
            <w:pPr>
              <w:jc w:val="center"/>
            </w:pPr>
            <w:r/>
            <w:r>
              <w:rPr>
                <w:b w:val="0"/>
                <w:sz w:val="19"/>
              </w:rPr>
              <w:t>Not started</w:t>
            </w:r>
          </w:p>
        </w:tc>
        <w:tc>
          <w:tcPr>
            <w:tcW w:type="dxa" w:w="1080"/>
          </w:tcPr>
          <w:p>
            <w:pPr>
              <w:jc w:val="center"/>
            </w:pPr>
            <w:r/>
            <w:r>
              <w:rPr>
                <w:b w:val="0"/>
                <w:sz w:val="19"/>
              </w:rPr>
              <w:t>P3</w:t>
            </w:r>
          </w:p>
        </w:tc>
        <w:tc>
          <w:tcPr>
            <w:tcW w:type="dxa" w:w="1296"/>
          </w:tcPr>
          <w:p>
            <w:r/>
            <w:r>
              <w:rPr>
                <w:b w:val="0"/>
                <w:sz w:val="19"/>
              </w:rPr>
              <w:t>External</w:t>
            </w:r>
          </w:p>
        </w:tc>
      </w:tr>
    </w:tbl>
    <w:p/>
    <w:p>
      <w:r>
        <w:br w:type="page"/>
      </w:r>
    </w:p>
    <w:p>
      <w:pPr>
        <w:pBdr>
          <w:bottom w:val="single" w:sz="6" w:space="4" w:color="0E7C86"/>
        </w:pBdr>
      </w:pPr>
      <w:r>
        <w:rPr>
          <w:b/>
          <w:color w:val="0F2E4E"/>
          <w:sz w:val="32"/>
        </w:rPr>
        <w:t>5.  ISO/IEC 42001:2023 — AI Management System specifics</w:t>
      </w:r>
    </w:p>
    <w:p>
      <w:r>
        <w:rPr>
          <w:i w:val="0"/>
          <w:sz w:val="21"/>
        </w:rPr>
        <w:t>42001 applies because Vlumeaware uses LLMs (currently DeepSeek / Anthropic) to generate phishing simulation content and training narratives. This is an AI use with genuine dual-use, safety and data-governance dimensions — precisely what 42001 governs. It reuses the management-system backbone from Section 2; the AI-specific additions are below.</w:t>
      </w:r>
    </w:p>
    <w:p>
      <w:r>
        <w:rPr>
          <w:b/>
          <w:color w:val="0E7C86"/>
          <w:sz w:val="25"/>
        </w:rPr>
        <w:t>5.1  AIMS clauses &amp; AI governance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A1</w:t>
            </w:r>
          </w:p>
        </w:tc>
        <w:tc>
          <w:tcPr>
            <w:tcW w:type="dxa" w:w="6336"/>
          </w:tcPr>
          <w:p>
            <w:r/>
            <w:r>
              <w:rPr>
                <w:b w:val="0"/>
                <w:sz w:val="19"/>
              </w:rPr>
              <w:t>Define AI policy and the organisation's role (provider vs deployer of AI)</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A2</w:t>
            </w:r>
          </w:p>
        </w:tc>
        <w:tc>
          <w:tcPr>
            <w:tcW w:type="dxa" w:w="6336"/>
            <w:shd w:val="clear" w:fill="EEF3F6"/>
          </w:tcPr>
          <w:p>
            <w:r/>
            <w:r>
              <w:rPr>
                <w:b w:val="0"/>
                <w:sz w:val="19"/>
              </w:rPr>
              <w:t>AI system inventory: which features use AI, which models/providers, for what purpose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A3</w:t>
            </w:r>
          </w:p>
        </w:tc>
        <w:tc>
          <w:tcPr>
            <w:tcW w:type="dxa" w:w="6336"/>
          </w:tcPr>
          <w:p>
            <w:r/>
            <w:r>
              <w:rPr>
                <w:b w:val="0"/>
                <w:sz w:val="19"/>
              </w:rPr>
              <w:t>AI risk assessment (distinct from security risk): misuse, bias, harmful output, hallucination</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A4</w:t>
            </w:r>
          </w:p>
        </w:tc>
        <w:tc>
          <w:tcPr>
            <w:tcW w:type="dxa" w:w="6336"/>
            <w:shd w:val="clear" w:fill="EEF3F6"/>
          </w:tcPr>
          <w:p>
            <w:r/>
            <w:r>
              <w:rPr>
                <w:b w:val="0"/>
                <w:sz w:val="19"/>
              </w:rPr>
              <w:t>AI system impact assessment (AIA): effects on individuals &amp; society, incl. dual-use of phishing content</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A5</w:t>
            </w:r>
          </w:p>
        </w:tc>
        <w:tc>
          <w:tcPr>
            <w:tcW w:type="dxa" w:w="6336"/>
          </w:tcPr>
          <w:p>
            <w:r/>
            <w:r>
              <w:rPr>
                <w:b w:val="0"/>
                <w:sz w:val="19"/>
              </w:rPr>
              <w:t>Define AIMS objectives and acceptable-use boundaries for generated content</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CTO</w:t>
            </w:r>
          </w:p>
        </w:tc>
      </w:tr>
    </w:tbl>
    <w:p/>
    <w:p>
      <w:r>
        <w:rPr>
          <w:b/>
          <w:color w:val="0E7C86"/>
          <w:sz w:val="25"/>
        </w:rPr>
        <w:t>5.2  AI Annex A controls (the AI-specific 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A6</w:t>
            </w:r>
          </w:p>
        </w:tc>
        <w:tc>
          <w:tcPr>
            <w:tcW w:type="dxa" w:w="6336"/>
          </w:tcPr>
          <w:p>
            <w:r/>
            <w:r>
              <w:rPr>
                <w:b w:val="0"/>
                <w:sz w:val="19"/>
              </w:rPr>
              <w:t>Data governance for AI: sources, quality, and handling of any data sent to model providers</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A7</w:t>
            </w:r>
          </w:p>
        </w:tc>
        <w:tc>
          <w:tcPr>
            <w:tcW w:type="dxa" w:w="6336"/>
            <w:shd w:val="clear" w:fill="EEF3F6"/>
          </w:tcPr>
          <w:p>
            <w:r/>
            <w:r>
              <w:rPr>
                <w:b w:val="0"/>
                <w:sz w:val="19"/>
              </w:rPr>
              <w:t>Human oversight: review/guardrails on AI-generated lures &amp; narratives before use</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A8</w:t>
            </w:r>
          </w:p>
        </w:tc>
        <w:tc>
          <w:tcPr>
            <w:tcW w:type="dxa" w:w="6336"/>
          </w:tcPr>
          <w:p>
            <w:r/>
            <w:r>
              <w:rPr>
                <w:b w:val="0"/>
                <w:sz w:val="19"/>
              </w:rPr>
              <w:t>Transparency: disclose to customers where/how AI is used in the product</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A9</w:t>
            </w:r>
          </w:p>
        </w:tc>
        <w:tc>
          <w:tcPr>
            <w:tcW w:type="dxa" w:w="6336"/>
            <w:shd w:val="clear" w:fill="EEF3F6"/>
          </w:tcPr>
          <w:p>
            <w:r/>
            <w:r>
              <w:rPr>
                <w:b w:val="0"/>
                <w:sz w:val="19"/>
              </w:rPr>
              <w:t>AI lifecycle management: model selection, change control, evaluation, monitoring for drift</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r>
        <w:tc>
          <w:tcPr>
            <w:tcW w:type="dxa" w:w="720"/>
          </w:tcPr>
          <w:p>
            <w:pPr>
              <w:jc w:val="center"/>
            </w:pPr>
            <w:r/>
            <w:r>
              <w:rPr>
                <w:b w:val="0"/>
                <w:sz w:val="19"/>
              </w:rPr>
              <w:t>A10</w:t>
            </w:r>
          </w:p>
        </w:tc>
        <w:tc>
          <w:tcPr>
            <w:tcW w:type="dxa" w:w="6336"/>
          </w:tcPr>
          <w:p>
            <w:r/>
            <w:r>
              <w:rPr>
                <w:b w:val="0"/>
                <w:sz w:val="19"/>
              </w:rPr>
              <w:t>Third-party AI governance: DPAs &amp; terms with model providers; data-retention &amp; training-use review</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Compliance</w:t>
            </w:r>
          </w:p>
        </w:tc>
      </w:tr>
      <w:tr>
        <w:tc>
          <w:tcPr>
            <w:tcW w:type="dxa" w:w="720"/>
            <w:shd w:val="clear" w:fill="EEF3F6"/>
          </w:tcPr>
          <w:p>
            <w:pPr>
              <w:jc w:val="center"/>
            </w:pPr>
            <w:r/>
            <w:r>
              <w:rPr>
                <w:b w:val="0"/>
                <w:sz w:val="19"/>
              </w:rPr>
              <w:t>A11</w:t>
            </w:r>
          </w:p>
        </w:tc>
        <w:tc>
          <w:tcPr>
            <w:tcW w:type="dxa" w:w="6336"/>
            <w:shd w:val="clear" w:fill="EEF3F6"/>
          </w:tcPr>
          <w:p>
            <w:r/>
            <w:r>
              <w:rPr>
                <w:b w:val="0"/>
                <w:sz w:val="19"/>
              </w:rPr>
              <w:t>Guardrails against misuse of generated phishing content (abuse, safety controls, logging)</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A12</w:t>
            </w:r>
          </w:p>
        </w:tc>
        <w:tc>
          <w:tcPr>
            <w:tcW w:type="dxa" w:w="6336"/>
          </w:tcPr>
          <w:p>
            <w:r/>
            <w:r>
              <w:rPr>
                <w:b w:val="0"/>
                <w:sz w:val="19"/>
              </w:rPr>
              <w:t>Incident handling for AI-specific failures (harmful/unsafe output) added to IR plan</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CTO</w:t>
            </w:r>
          </w:p>
        </w:tc>
      </w:tr>
    </w:tbl>
    <w:p/>
    <w:p>
      <w:r>
        <w:rPr>
          <w:b/>
          <w:color w:val="0E7C86"/>
          <w:sz w:val="25"/>
        </w:rPr>
        <w:t>5.3  Certification process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336"/>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A13</w:t>
            </w:r>
          </w:p>
        </w:tc>
        <w:tc>
          <w:tcPr>
            <w:tcW w:type="dxa" w:w="6336"/>
          </w:tcPr>
          <w:p>
            <w:r/>
            <w:r>
              <w:rPr>
                <w:b w:val="0"/>
                <w:sz w:val="19"/>
              </w:rPr>
              <w:t>Internal audit + management review of the AIMS</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Compliance</w:t>
            </w:r>
          </w:p>
        </w:tc>
      </w:tr>
      <w:tr>
        <w:tc>
          <w:tcPr>
            <w:tcW w:type="dxa" w:w="720"/>
            <w:shd w:val="clear" w:fill="EEF3F6"/>
          </w:tcPr>
          <w:p>
            <w:pPr>
              <w:jc w:val="center"/>
            </w:pPr>
            <w:r/>
            <w:r>
              <w:rPr>
                <w:b w:val="0"/>
                <w:sz w:val="19"/>
              </w:rPr>
              <w:t>A14</w:t>
            </w:r>
          </w:p>
        </w:tc>
        <w:tc>
          <w:tcPr>
            <w:tcW w:type="dxa" w:w="6336"/>
            <w:shd w:val="clear" w:fill="EEF3F6"/>
          </w:tcPr>
          <w:p>
            <w:r/>
            <w:r>
              <w:rPr>
                <w:b w:val="0"/>
                <w:sz w:val="19"/>
              </w:rPr>
              <w:t>Stage 1 &amp; Stage 2 certification audit (can share the body/timing with 27001)</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P3</w:t>
            </w:r>
          </w:p>
        </w:tc>
        <w:tc>
          <w:tcPr>
            <w:tcW w:type="dxa" w:w="1296"/>
            <w:shd w:val="clear" w:fill="EEF3F6"/>
          </w:tcPr>
          <w:p>
            <w:r/>
            <w:r>
              <w:rPr>
                <w:b w:val="0"/>
                <w:sz w:val="19"/>
              </w:rPr>
              <w:t>External</w:t>
            </w:r>
          </w:p>
        </w:tc>
      </w:tr>
      <w:tr>
        <w:tc>
          <w:tcPr>
            <w:tcW w:type="dxa" w:w="720"/>
          </w:tcPr>
          <w:p>
            <w:pPr>
              <w:jc w:val="center"/>
            </w:pPr>
            <w:r/>
            <w:r>
              <w:rPr>
                <w:b w:val="0"/>
                <w:sz w:val="19"/>
              </w:rPr>
              <w:t>A15</w:t>
            </w:r>
          </w:p>
        </w:tc>
        <w:tc>
          <w:tcPr>
            <w:tcW w:type="dxa" w:w="6336"/>
          </w:tcPr>
          <w:p>
            <w:r/>
            <w:r>
              <w:rPr>
                <w:b w:val="0"/>
                <w:sz w:val="19"/>
              </w:rPr>
              <w:t>Certificate issued (3-year cycle) + annual surveillance</w:t>
            </w:r>
          </w:p>
        </w:tc>
        <w:tc>
          <w:tcPr>
            <w:tcW w:type="dxa" w:w="1368"/>
            <w:shd w:val="clear" w:fill="FBE7E7"/>
          </w:tcPr>
          <w:p>
            <w:pPr>
              <w:jc w:val="center"/>
            </w:pPr>
            <w:r/>
            <w:r>
              <w:rPr>
                <w:b w:val="0"/>
                <w:sz w:val="19"/>
              </w:rPr>
              <w:t>Not started</w:t>
            </w:r>
          </w:p>
        </w:tc>
        <w:tc>
          <w:tcPr>
            <w:tcW w:type="dxa" w:w="1080"/>
          </w:tcPr>
          <w:p>
            <w:pPr>
              <w:jc w:val="center"/>
            </w:pPr>
            <w:r/>
            <w:r>
              <w:rPr>
                <w:b w:val="0"/>
                <w:sz w:val="19"/>
              </w:rPr>
              <w:t>P3</w:t>
            </w:r>
          </w:p>
        </w:tc>
        <w:tc>
          <w:tcPr>
            <w:tcW w:type="dxa" w:w="1296"/>
          </w:tcPr>
          <w:p>
            <w:r/>
            <w:r>
              <w:rPr>
                <w:b w:val="0"/>
                <w:sz w:val="19"/>
              </w:rPr>
              <w:t>External</w:t>
            </w:r>
          </w:p>
        </w:tc>
      </w:tr>
    </w:tbl>
    <w:p/>
    <w:p>
      <w:r>
        <w:br w:type="page"/>
      </w:r>
    </w:p>
    <w:p>
      <w:pPr>
        <w:pBdr>
          <w:bottom w:val="single" w:sz="6" w:space="4" w:color="0E7C86"/>
        </w:pBdr>
      </w:pPr>
      <w:r>
        <w:rPr>
          <w:b/>
          <w:color w:val="0F2E4E"/>
          <w:sz w:val="32"/>
        </w:rPr>
        <w:t>6.  Cross-framework overlap</w:t>
      </w:r>
    </w:p>
    <w:p>
      <w:r>
        <w:rPr>
          <w:i w:val="0"/>
          <w:sz w:val="21"/>
        </w:rPr>
        <w:t>What one activity buys across the three standards — plan the shared items once.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896"/>
            <w:shd w:val="clear" w:fill="0F2E4E"/>
          </w:tcPr>
          <w:p>
            <w:r/>
            <w:r>
              <w:rPr>
                <w:b/>
                <w:color w:val="FFFFFF"/>
                <w:sz w:val="19"/>
              </w:rPr>
              <w:t>Activity / control area</w:t>
            </w:r>
          </w:p>
        </w:tc>
        <w:tc>
          <w:tcPr>
            <w:tcW w:type="dxa" w:w="1728"/>
            <w:shd w:val="clear" w:fill="0F2E4E"/>
          </w:tcPr>
          <w:p>
            <w:pPr>
              <w:jc w:val="center"/>
            </w:pPr>
            <w:r/>
            <w:r>
              <w:rPr>
                <w:b/>
                <w:color w:val="FFFFFF"/>
                <w:sz w:val="19"/>
              </w:rPr>
              <w:t>SOC 2</w:t>
            </w:r>
          </w:p>
        </w:tc>
        <w:tc>
          <w:tcPr>
            <w:tcW w:type="dxa" w:w="1872"/>
            <w:shd w:val="clear" w:fill="0F2E4E"/>
          </w:tcPr>
          <w:p>
            <w:pPr>
              <w:jc w:val="center"/>
            </w:pPr>
            <w:r/>
            <w:r>
              <w:rPr>
                <w:b/>
                <w:color w:val="FFFFFF"/>
                <w:sz w:val="19"/>
              </w:rPr>
              <w:t>ISO 27001</w:t>
            </w:r>
          </w:p>
        </w:tc>
        <w:tc>
          <w:tcPr>
            <w:tcW w:type="dxa" w:w="2304"/>
            <w:shd w:val="clear" w:fill="0F2E4E"/>
          </w:tcPr>
          <w:p>
            <w:pPr>
              <w:jc w:val="center"/>
            </w:pPr>
            <w:r/>
            <w:r>
              <w:rPr>
                <w:b/>
                <w:color w:val="FFFFFF"/>
                <w:sz w:val="19"/>
              </w:rPr>
              <w:t>ISO 42001</w:t>
            </w:r>
          </w:p>
        </w:tc>
      </w:tr>
      <w:tr>
        <w:tc>
          <w:tcPr>
            <w:tcW w:type="dxa" w:w="4896"/>
          </w:tcPr>
          <w:p>
            <w:r/>
            <w:r>
              <w:rPr>
                <w:b w:val="0"/>
                <w:sz w:val="19"/>
              </w:rPr>
              <w:t>Security policies &amp; governance</w:t>
            </w:r>
          </w:p>
        </w:tc>
        <w:tc>
          <w:tcPr>
            <w:tcW w:type="dxa" w:w="1728"/>
          </w:tcPr>
          <w:p>
            <w:pPr>
              <w:jc w:val="center"/>
            </w:pPr>
            <w:r/>
            <w:r>
              <w:rPr>
                <w:b w:val="0"/>
                <w:sz w:val="19"/>
              </w:rPr>
              <w:t>Yes</w:t>
            </w:r>
          </w:p>
        </w:tc>
        <w:tc>
          <w:tcPr>
            <w:tcW w:type="dxa" w:w="1872"/>
          </w:tcPr>
          <w:p>
            <w:pPr>
              <w:jc w:val="center"/>
            </w:pPr>
            <w:r/>
            <w:r>
              <w:rPr>
                <w:b w:val="0"/>
                <w:sz w:val="19"/>
              </w:rPr>
              <w:t>Yes</w:t>
            </w:r>
          </w:p>
        </w:tc>
        <w:tc>
          <w:tcPr>
            <w:tcW w:type="dxa" w:w="2304"/>
          </w:tcPr>
          <w:p>
            <w:pPr>
              <w:jc w:val="center"/>
            </w:pPr>
            <w:r/>
            <w:r>
              <w:rPr>
                <w:b w:val="0"/>
                <w:sz w:val="19"/>
              </w:rPr>
              <w:t>Yes</w:t>
            </w:r>
          </w:p>
        </w:tc>
      </w:tr>
      <w:tr>
        <w:tc>
          <w:tcPr>
            <w:tcW w:type="dxa" w:w="4896"/>
            <w:shd w:val="clear" w:fill="EEF3F6"/>
          </w:tcPr>
          <w:p>
            <w:r/>
            <w:r>
              <w:rPr>
                <w:b w:val="0"/>
                <w:sz w:val="19"/>
              </w:rPr>
              <w:t>Risk assessment &amp; treatment</w:t>
            </w:r>
          </w:p>
        </w:tc>
        <w:tc>
          <w:tcPr>
            <w:tcW w:type="dxa" w:w="1728"/>
            <w:shd w:val="clear" w:fill="EEF3F6"/>
          </w:tcPr>
          <w:p>
            <w:pPr>
              <w:jc w:val="center"/>
            </w:pPr>
            <w:r/>
            <w:r>
              <w:rPr>
                <w:b w:val="0"/>
                <w:sz w:val="19"/>
              </w:rPr>
              <w:t>Yes</w:t>
            </w:r>
          </w:p>
        </w:tc>
        <w:tc>
          <w:tcPr>
            <w:tcW w:type="dxa" w:w="1872"/>
            <w:shd w:val="clear" w:fill="EEF3F6"/>
          </w:tcPr>
          <w:p>
            <w:pPr>
              <w:jc w:val="center"/>
            </w:pPr>
            <w:r/>
            <w:r>
              <w:rPr>
                <w:b w:val="0"/>
                <w:sz w:val="19"/>
              </w:rPr>
              <w:t>Yes</w:t>
            </w:r>
          </w:p>
        </w:tc>
        <w:tc>
          <w:tcPr>
            <w:tcW w:type="dxa" w:w="2304"/>
            <w:shd w:val="clear" w:fill="EEF3F6"/>
          </w:tcPr>
          <w:p>
            <w:pPr>
              <w:jc w:val="center"/>
            </w:pPr>
            <w:r/>
            <w:r>
              <w:rPr>
                <w:b w:val="0"/>
                <w:sz w:val="19"/>
              </w:rPr>
              <w:t>Yes (+AI risk)</w:t>
            </w:r>
          </w:p>
        </w:tc>
      </w:tr>
      <w:tr>
        <w:tc>
          <w:tcPr>
            <w:tcW w:type="dxa" w:w="4896"/>
          </w:tcPr>
          <w:p>
            <w:r/>
            <w:r>
              <w:rPr>
                <w:b w:val="0"/>
                <w:sz w:val="19"/>
              </w:rPr>
              <w:t>Access control, MFA, tenant isolation</w:t>
            </w:r>
          </w:p>
        </w:tc>
        <w:tc>
          <w:tcPr>
            <w:tcW w:type="dxa" w:w="1728"/>
          </w:tcPr>
          <w:p>
            <w:pPr>
              <w:jc w:val="center"/>
            </w:pPr>
            <w:r/>
            <w:r>
              <w:rPr>
                <w:b w:val="0"/>
                <w:sz w:val="19"/>
              </w:rPr>
              <w:t>Yes</w:t>
            </w:r>
          </w:p>
        </w:tc>
        <w:tc>
          <w:tcPr>
            <w:tcW w:type="dxa" w:w="1872"/>
          </w:tcPr>
          <w:p>
            <w:pPr>
              <w:jc w:val="center"/>
            </w:pPr>
            <w:r/>
            <w:r>
              <w:rPr>
                <w:b w:val="0"/>
                <w:sz w:val="19"/>
              </w:rPr>
              <w:t>Yes</w:t>
            </w:r>
          </w:p>
        </w:tc>
        <w:tc>
          <w:tcPr>
            <w:tcW w:type="dxa" w:w="2304"/>
          </w:tcPr>
          <w:p>
            <w:pPr>
              <w:jc w:val="center"/>
            </w:pPr>
            <w:r/>
            <w:r>
              <w:rPr>
                <w:b w:val="0"/>
                <w:sz w:val="19"/>
              </w:rPr>
              <w:t>Yes</w:t>
            </w:r>
          </w:p>
        </w:tc>
      </w:tr>
      <w:tr>
        <w:tc>
          <w:tcPr>
            <w:tcW w:type="dxa" w:w="4896"/>
            <w:shd w:val="clear" w:fill="EEF3F6"/>
          </w:tcPr>
          <w:p>
            <w:r/>
            <w:r>
              <w:rPr>
                <w:b w:val="0"/>
                <w:sz w:val="19"/>
              </w:rPr>
              <w:t>Logging, monitoring &amp; incident response</w:t>
            </w:r>
          </w:p>
        </w:tc>
        <w:tc>
          <w:tcPr>
            <w:tcW w:type="dxa" w:w="1728"/>
            <w:shd w:val="clear" w:fill="EEF3F6"/>
          </w:tcPr>
          <w:p>
            <w:pPr>
              <w:jc w:val="center"/>
            </w:pPr>
            <w:r/>
            <w:r>
              <w:rPr>
                <w:b w:val="0"/>
                <w:sz w:val="19"/>
              </w:rPr>
              <w:t>Yes</w:t>
            </w:r>
          </w:p>
        </w:tc>
        <w:tc>
          <w:tcPr>
            <w:tcW w:type="dxa" w:w="1872"/>
            <w:shd w:val="clear" w:fill="EEF3F6"/>
          </w:tcPr>
          <w:p>
            <w:pPr>
              <w:jc w:val="center"/>
            </w:pPr>
            <w:r/>
            <w:r>
              <w:rPr>
                <w:b w:val="0"/>
                <w:sz w:val="19"/>
              </w:rPr>
              <w:t>Yes</w:t>
            </w:r>
          </w:p>
        </w:tc>
        <w:tc>
          <w:tcPr>
            <w:tcW w:type="dxa" w:w="2304"/>
            <w:shd w:val="clear" w:fill="EEF3F6"/>
          </w:tcPr>
          <w:p>
            <w:pPr>
              <w:jc w:val="center"/>
            </w:pPr>
            <w:r/>
            <w:r>
              <w:rPr>
                <w:b w:val="0"/>
                <w:sz w:val="19"/>
              </w:rPr>
              <w:t>Yes (+AI incidents)</w:t>
            </w:r>
          </w:p>
        </w:tc>
      </w:tr>
      <w:tr>
        <w:tc>
          <w:tcPr>
            <w:tcW w:type="dxa" w:w="4896"/>
          </w:tcPr>
          <w:p>
            <w:r/>
            <w:r>
              <w:rPr>
                <w:b w:val="0"/>
                <w:sz w:val="19"/>
              </w:rPr>
              <w:t>HR security &amp; awareness training</w:t>
            </w:r>
          </w:p>
        </w:tc>
        <w:tc>
          <w:tcPr>
            <w:tcW w:type="dxa" w:w="1728"/>
          </w:tcPr>
          <w:p>
            <w:pPr>
              <w:jc w:val="center"/>
            </w:pPr>
            <w:r/>
            <w:r>
              <w:rPr>
                <w:b w:val="0"/>
                <w:sz w:val="19"/>
              </w:rPr>
              <w:t>Yes</w:t>
            </w:r>
          </w:p>
        </w:tc>
        <w:tc>
          <w:tcPr>
            <w:tcW w:type="dxa" w:w="1872"/>
          </w:tcPr>
          <w:p>
            <w:pPr>
              <w:jc w:val="center"/>
            </w:pPr>
            <w:r/>
            <w:r>
              <w:rPr>
                <w:b w:val="0"/>
                <w:sz w:val="19"/>
              </w:rPr>
              <w:t>Yes</w:t>
            </w:r>
          </w:p>
        </w:tc>
        <w:tc>
          <w:tcPr>
            <w:tcW w:type="dxa" w:w="2304"/>
          </w:tcPr>
          <w:p>
            <w:pPr>
              <w:jc w:val="center"/>
            </w:pPr>
            <w:r/>
            <w:r>
              <w:rPr>
                <w:b w:val="0"/>
                <w:sz w:val="19"/>
              </w:rPr>
              <w:t>Yes</w:t>
            </w:r>
          </w:p>
        </w:tc>
      </w:tr>
      <w:tr>
        <w:tc>
          <w:tcPr>
            <w:tcW w:type="dxa" w:w="4896"/>
            <w:shd w:val="clear" w:fill="EEF3F6"/>
          </w:tcPr>
          <w:p>
            <w:r/>
            <w:r>
              <w:rPr>
                <w:b w:val="0"/>
                <w:sz w:val="19"/>
              </w:rPr>
              <w:t>Vendor / third-party management</w:t>
            </w:r>
          </w:p>
        </w:tc>
        <w:tc>
          <w:tcPr>
            <w:tcW w:type="dxa" w:w="1728"/>
            <w:shd w:val="clear" w:fill="EEF3F6"/>
          </w:tcPr>
          <w:p>
            <w:pPr>
              <w:jc w:val="center"/>
            </w:pPr>
            <w:r/>
            <w:r>
              <w:rPr>
                <w:b w:val="0"/>
                <w:sz w:val="19"/>
              </w:rPr>
              <w:t>Yes</w:t>
            </w:r>
          </w:p>
        </w:tc>
        <w:tc>
          <w:tcPr>
            <w:tcW w:type="dxa" w:w="1872"/>
            <w:shd w:val="clear" w:fill="EEF3F6"/>
          </w:tcPr>
          <w:p>
            <w:pPr>
              <w:jc w:val="center"/>
            </w:pPr>
            <w:r/>
            <w:r>
              <w:rPr>
                <w:b w:val="0"/>
                <w:sz w:val="19"/>
              </w:rPr>
              <w:t>Yes</w:t>
            </w:r>
          </w:p>
        </w:tc>
        <w:tc>
          <w:tcPr>
            <w:tcW w:type="dxa" w:w="2304"/>
            <w:shd w:val="clear" w:fill="EEF3F6"/>
          </w:tcPr>
          <w:p>
            <w:pPr>
              <w:jc w:val="center"/>
            </w:pPr>
            <w:r/>
            <w:r>
              <w:rPr>
                <w:b w:val="0"/>
                <w:sz w:val="19"/>
              </w:rPr>
              <w:t>Yes (+model providers)</w:t>
            </w:r>
          </w:p>
        </w:tc>
      </w:tr>
      <w:tr>
        <w:tc>
          <w:tcPr>
            <w:tcW w:type="dxa" w:w="4896"/>
          </w:tcPr>
          <w:p>
            <w:r/>
            <w:r>
              <w:rPr>
                <w:b w:val="0"/>
                <w:sz w:val="19"/>
              </w:rPr>
              <w:t>Change management &amp; secure SDLC</w:t>
            </w:r>
          </w:p>
        </w:tc>
        <w:tc>
          <w:tcPr>
            <w:tcW w:type="dxa" w:w="1728"/>
          </w:tcPr>
          <w:p>
            <w:pPr>
              <w:jc w:val="center"/>
            </w:pPr>
            <w:r/>
            <w:r>
              <w:rPr>
                <w:b w:val="0"/>
                <w:sz w:val="19"/>
              </w:rPr>
              <w:t>Yes</w:t>
            </w:r>
          </w:p>
        </w:tc>
        <w:tc>
          <w:tcPr>
            <w:tcW w:type="dxa" w:w="1872"/>
          </w:tcPr>
          <w:p>
            <w:pPr>
              <w:jc w:val="center"/>
            </w:pPr>
            <w:r/>
            <w:r>
              <w:rPr>
                <w:b w:val="0"/>
                <w:sz w:val="19"/>
              </w:rPr>
              <w:t>Yes</w:t>
            </w:r>
          </w:p>
        </w:tc>
        <w:tc>
          <w:tcPr>
            <w:tcW w:type="dxa" w:w="2304"/>
          </w:tcPr>
          <w:p>
            <w:pPr>
              <w:jc w:val="center"/>
            </w:pPr>
            <w:r/>
            <w:r>
              <w:rPr>
                <w:b w:val="0"/>
                <w:sz w:val="19"/>
              </w:rPr>
              <w:t>Yes</w:t>
            </w:r>
          </w:p>
        </w:tc>
      </w:tr>
      <w:tr>
        <w:tc>
          <w:tcPr>
            <w:tcW w:type="dxa" w:w="4896"/>
            <w:shd w:val="clear" w:fill="EEF3F6"/>
          </w:tcPr>
          <w:p>
            <w:r/>
            <w:r>
              <w:rPr>
                <w:b w:val="0"/>
                <w:sz w:val="19"/>
              </w:rPr>
              <w:t>Business continuity &amp; backups</w:t>
            </w:r>
          </w:p>
        </w:tc>
        <w:tc>
          <w:tcPr>
            <w:tcW w:type="dxa" w:w="1728"/>
            <w:shd w:val="clear" w:fill="EEF3F6"/>
          </w:tcPr>
          <w:p>
            <w:pPr>
              <w:jc w:val="center"/>
            </w:pPr>
            <w:r/>
            <w:r>
              <w:rPr>
                <w:b w:val="0"/>
                <w:sz w:val="19"/>
              </w:rPr>
              <w:t>Yes</w:t>
            </w:r>
          </w:p>
        </w:tc>
        <w:tc>
          <w:tcPr>
            <w:tcW w:type="dxa" w:w="1872"/>
            <w:shd w:val="clear" w:fill="EEF3F6"/>
          </w:tcPr>
          <w:p>
            <w:pPr>
              <w:jc w:val="center"/>
            </w:pPr>
            <w:r/>
            <w:r>
              <w:rPr>
                <w:b w:val="0"/>
                <w:sz w:val="19"/>
              </w:rPr>
              <w:t>Yes</w:t>
            </w:r>
          </w:p>
        </w:tc>
        <w:tc>
          <w:tcPr>
            <w:tcW w:type="dxa" w:w="2304"/>
            <w:shd w:val="clear" w:fill="EEF3F6"/>
          </w:tcPr>
          <w:p>
            <w:pPr>
              <w:jc w:val="center"/>
            </w:pPr>
            <w:r/>
            <w:r>
              <w:rPr>
                <w:b w:val="0"/>
                <w:sz w:val="19"/>
              </w:rPr>
              <w:t>Partial</w:t>
            </w:r>
          </w:p>
        </w:tc>
      </w:tr>
      <w:tr>
        <w:tc>
          <w:tcPr>
            <w:tcW w:type="dxa" w:w="4896"/>
          </w:tcPr>
          <w:p>
            <w:r/>
            <w:r>
              <w:rPr>
                <w:b w:val="0"/>
                <w:sz w:val="19"/>
              </w:rPr>
              <w:t>Statement of Applicability</w:t>
            </w:r>
          </w:p>
        </w:tc>
        <w:tc>
          <w:tcPr>
            <w:tcW w:type="dxa" w:w="1728"/>
          </w:tcPr>
          <w:p>
            <w:pPr>
              <w:jc w:val="center"/>
            </w:pPr>
            <w:r/>
            <w:r>
              <w:rPr>
                <w:b w:val="0"/>
                <w:sz w:val="19"/>
              </w:rPr>
              <w:t>No</w:t>
            </w:r>
          </w:p>
        </w:tc>
        <w:tc>
          <w:tcPr>
            <w:tcW w:type="dxa" w:w="1872"/>
          </w:tcPr>
          <w:p>
            <w:pPr>
              <w:jc w:val="center"/>
            </w:pPr>
            <w:r/>
            <w:r>
              <w:rPr>
                <w:b w:val="0"/>
                <w:sz w:val="19"/>
              </w:rPr>
              <w:t>Yes</w:t>
            </w:r>
          </w:p>
        </w:tc>
        <w:tc>
          <w:tcPr>
            <w:tcW w:type="dxa" w:w="2304"/>
          </w:tcPr>
          <w:p>
            <w:pPr>
              <w:jc w:val="center"/>
            </w:pPr>
            <w:r/>
            <w:r>
              <w:rPr>
                <w:b w:val="0"/>
                <w:sz w:val="19"/>
              </w:rPr>
              <w:t>Yes</w:t>
            </w:r>
          </w:p>
        </w:tc>
      </w:tr>
      <w:tr>
        <w:tc>
          <w:tcPr>
            <w:tcW w:type="dxa" w:w="4896"/>
            <w:shd w:val="clear" w:fill="EEF3F6"/>
          </w:tcPr>
          <w:p>
            <w:r/>
            <w:r>
              <w:rPr>
                <w:b w:val="0"/>
                <w:sz w:val="19"/>
              </w:rPr>
              <w:t>AI risk, impact assessment &amp; oversight</w:t>
            </w:r>
          </w:p>
        </w:tc>
        <w:tc>
          <w:tcPr>
            <w:tcW w:type="dxa" w:w="1728"/>
            <w:shd w:val="clear" w:fill="EEF3F6"/>
          </w:tcPr>
          <w:p>
            <w:pPr>
              <w:jc w:val="center"/>
            </w:pPr>
            <w:r/>
            <w:r>
              <w:rPr>
                <w:b w:val="0"/>
                <w:sz w:val="19"/>
              </w:rPr>
              <w:t>No</w:t>
            </w:r>
          </w:p>
        </w:tc>
        <w:tc>
          <w:tcPr>
            <w:tcW w:type="dxa" w:w="1872"/>
            <w:shd w:val="clear" w:fill="EEF3F6"/>
          </w:tcPr>
          <w:p>
            <w:pPr>
              <w:jc w:val="center"/>
            </w:pPr>
            <w:r/>
            <w:r>
              <w:rPr>
                <w:b w:val="0"/>
                <w:sz w:val="19"/>
              </w:rPr>
              <w:t>No</w:t>
            </w:r>
          </w:p>
        </w:tc>
        <w:tc>
          <w:tcPr>
            <w:tcW w:type="dxa" w:w="2304"/>
            <w:shd w:val="clear" w:fill="EEF3F6"/>
          </w:tcPr>
          <w:p>
            <w:pPr>
              <w:jc w:val="center"/>
            </w:pPr>
            <w:r/>
            <w:r>
              <w:rPr>
                <w:b w:val="0"/>
                <w:sz w:val="19"/>
              </w:rPr>
              <w:t>Yes</w:t>
            </w:r>
          </w:p>
        </w:tc>
      </w:tr>
      <w:tr>
        <w:tc>
          <w:tcPr>
            <w:tcW w:type="dxa" w:w="4896"/>
          </w:tcPr>
          <w:p>
            <w:r/>
            <w:r>
              <w:rPr>
                <w:b w:val="0"/>
                <w:sz w:val="19"/>
              </w:rPr>
              <w:t>External audit / attestation required</w:t>
            </w:r>
          </w:p>
        </w:tc>
        <w:tc>
          <w:tcPr>
            <w:tcW w:type="dxa" w:w="1728"/>
          </w:tcPr>
          <w:p>
            <w:pPr>
              <w:jc w:val="center"/>
            </w:pPr>
            <w:r/>
            <w:r>
              <w:rPr>
                <w:b w:val="0"/>
                <w:sz w:val="19"/>
              </w:rPr>
              <w:t>Yes (CPA)</w:t>
            </w:r>
          </w:p>
        </w:tc>
        <w:tc>
          <w:tcPr>
            <w:tcW w:type="dxa" w:w="1872"/>
          </w:tcPr>
          <w:p>
            <w:pPr>
              <w:jc w:val="center"/>
            </w:pPr>
            <w:r/>
            <w:r>
              <w:rPr>
                <w:b w:val="0"/>
                <w:sz w:val="19"/>
              </w:rPr>
              <w:t>Yes (cert body)</w:t>
            </w:r>
          </w:p>
        </w:tc>
        <w:tc>
          <w:tcPr>
            <w:tcW w:type="dxa" w:w="2304"/>
          </w:tcPr>
          <w:p>
            <w:pPr>
              <w:jc w:val="center"/>
            </w:pPr>
            <w:r/>
            <w:r>
              <w:rPr>
                <w:b w:val="0"/>
                <w:sz w:val="19"/>
              </w:rPr>
              <w:t>Yes (cert body)</w:t>
            </w:r>
          </w:p>
        </w:tc>
      </w:tr>
    </w:tbl>
    <w:p/>
    <w:p>
      <w:pPr>
        <w:pBdr>
          <w:bottom w:val="single" w:sz="6" w:space="4" w:color="0E7C86"/>
        </w:pBdr>
      </w:pPr>
      <w:r>
        <w:rPr>
          <w:b/>
          <w:color w:val="0F2E4E"/>
          <w:sz w:val="32"/>
        </w:rPr>
        <w:t>7.  Suggested phased roadmap</w:t>
      </w:r>
    </w:p>
    <w:p>
      <w:r>
        <w:rPr>
          <w:b/>
          <w:color w:val="0E7C86"/>
          <w:sz w:val="25"/>
        </w:rPr>
        <w:t>Phase 0 — Foundation (months 0–2)</w:t>
      </w:r>
    </w:p>
    <w:p>
      <w:pPr>
        <w:pStyle w:val="ListBullet"/>
      </w:pPr>
      <w:r>
        <w:rPr>
          <w:sz w:val="21"/>
        </w:rPr>
        <w:t>Appoint owner + sponsor; define scope; select GRC tooling (F1–F5).</w:t>
      </w:r>
    </w:p>
    <w:p>
      <w:pPr>
        <w:pStyle w:val="ListBullet"/>
      </w:pPr>
      <w:r>
        <w:rPr>
          <w:sz w:val="21"/>
        </w:rPr>
        <w:t>Rotate the exposed Supabase credentials immediately (open security item).</w:t>
      </w:r>
    </w:p>
    <w:p>
      <w:pPr>
        <w:pStyle w:val="ListBullet"/>
      </w:pPr>
      <w:r>
        <w:rPr>
          <w:sz w:val="21"/>
        </w:rPr>
        <w:t>Draft the core policy set and stand up the risk assessment &amp; asset inventory (F6–F20).</w:t>
      </w:r>
    </w:p>
    <w:p>
      <w:r>
        <w:rPr>
          <w:b/>
          <w:color w:val="0E7C86"/>
          <w:sz w:val="25"/>
        </w:rPr>
        <w:t>Phase 1 — Implement controls (months 2–5)</w:t>
      </w:r>
    </w:p>
    <w:p>
      <w:pPr>
        <w:pStyle w:val="ListBullet"/>
      </w:pPr>
      <w:r>
        <w:rPr>
          <w:sz w:val="21"/>
        </w:rPr>
        <w:t>Close technical P1s: audit tamper-evidence, full export/access logging, Postgres RLS backstop, secrets/key management, vulnerability scanning (F26–F27, I13–I15).</w:t>
      </w:r>
    </w:p>
    <w:p>
      <w:pPr>
        <w:pStyle w:val="ListBullet"/>
      </w:pPr>
      <w:r>
        <w:rPr>
          <w:sz w:val="21"/>
        </w:rPr>
        <w:t>Roll out awareness training, onboarding/offboarding, access reviews (F22–F25).</w:t>
      </w:r>
    </w:p>
    <w:p>
      <w:pPr>
        <w:pStyle w:val="ListBullet"/>
      </w:pPr>
      <w:r>
        <w:rPr>
          <w:sz w:val="21"/>
        </w:rPr>
        <w:t>Write the SoA and run the AI risk &amp; impact assessments (I4, A3–A4).</w:t>
      </w:r>
    </w:p>
    <w:p>
      <w:r>
        <w:rPr>
          <w:b/>
          <w:color w:val="0E7C86"/>
          <w:sz w:val="25"/>
        </w:rPr>
        <w:t>Phase 2 — Assess (months 4–7)</w:t>
      </w:r>
    </w:p>
    <w:p>
      <w:pPr>
        <w:pStyle w:val="ListBullet"/>
      </w:pPr>
      <w:r>
        <w:rPr>
          <w:sz w:val="21"/>
        </w:rPr>
        <w:t>SOC 2 readiness assessment → Type I; ISO 27001/42001 internal audit → Stage 1.</w:t>
      </w:r>
    </w:p>
    <w:p>
      <w:pPr>
        <w:pStyle w:val="ListBullet"/>
      </w:pPr>
      <w:r>
        <w:rPr>
          <w:sz w:val="21"/>
        </w:rPr>
        <w:t>Book an external penetration test (F28).</w:t>
      </w:r>
    </w:p>
    <w:p>
      <w:r>
        <w:rPr>
          <w:b/>
          <w:color w:val="0E7C86"/>
          <w:sz w:val="25"/>
        </w:rPr>
        <w:t>Phase 3 — Certify &amp; sustain (months 6–15)</w:t>
      </w:r>
    </w:p>
    <w:p>
      <w:pPr>
        <w:pStyle w:val="ListBullet"/>
      </w:pPr>
      <w:r>
        <w:rPr>
          <w:sz w:val="21"/>
        </w:rPr>
        <w:t>ISO 27001 &amp; 42001 Stage 2 audits and certification; SOC 2 Type II observation window then report.</w:t>
      </w:r>
    </w:p>
    <w:p>
      <w:pPr>
        <w:pStyle w:val="ListBullet"/>
      </w:pPr>
      <w:r>
        <w:rPr>
          <w:sz w:val="21"/>
        </w:rPr>
        <w:t>Establish surveillance/renewal cadence and continual improvement.</w:t>
      </w:r>
    </w:p>
    <w:p>
      <w:r>
        <w:rPr>
          <w:i/>
          <w:color w:val="555F6B"/>
          <w:sz w:val="19"/>
        </w:rPr>
        <w:t>Indicative only; timelines depend on team capacity and assessor scheduling. SOC 2 Type II is gated by its observation window, so it finishes last.</w:t>
      </w:r>
    </w:p>
    <w:p>
      <w:pPr>
        <w:pBdr>
          <w:bottom w:val="single" w:sz="6" w:space="4" w:color="0E7C86"/>
        </w:pBdr>
      </w:pPr>
      <w:r>
        <w:rPr>
          <w:b/>
          <w:color w:val="0F2E4E"/>
          <w:sz w:val="32"/>
        </w:rPr>
        <w:t>8.  Vlumeaware technical state &amp; open items</w:t>
      </w:r>
    </w:p>
    <w:p>
      <w:r>
        <w:rPr>
          <w:i w:val="0"/>
          <w:sz w:val="21"/>
        </w:rPr>
        <w:t>Already in place (evidence for CC6/CC7 and Annex A.8):</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624"/>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T1</w:t>
            </w:r>
          </w:p>
        </w:tc>
        <w:tc>
          <w:tcPr>
            <w:tcW w:type="dxa" w:w="6624"/>
          </w:tcPr>
          <w:p>
            <w:r/>
            <w:r>
              <w:rPr>
                <w:b w:val="0"/>
                <w:sz w:val="19"/>
              </w:rPr>
              <w:t>Multi-factor authentication (TOTP), enforced for staff</w:t>
            </w:r>
          </w:p>
        </w:tc>
        <w:tc>
          <w:tcPr>
            <w:tcW w:type="dxa" w:w="1368"/>
            <w:shd w:val="clear" w:fill="E3F1E4"/>
          </w:tcPr>
          <w:p>
            <w:pPr>
              <w:jc w:val="center"/>
            </w:pPr>
            <w:r/>
            <w:r>
              <w:rPr>
                <w:b w:val="0"/>
                <w:sz w:val="19"/>
              </w:rPr>
              <w:t>Done</w:t>
            </w:r>
          </w:p>
        </w:tc>
        <w:tc>
          <w:tcPr>
            <w:tcW w:type="dxa" w:w="1080"/>
          </w:tcPr>
          <w:p>
            <w:pPr>
              <w:jc w:val="center"/>
            </w:pPr>
            <w:r/>
            <w:r>
              <w:rPr>
                <w:b w:val="0"/>
                <w:sz w:val="19"/>
              </w:rPr>
              <w:t>—</w:t>
            </w:r>
          </w:p>
        </w:tc>
        <w:tc>
          <w:tcPr>
            <w:tcW w:type="dxa" w:w="1296"/>
          </w:tcPr>
          <w:p>
            <w:r/>
            <w:r>
              <w:rPr>
                <w:b w:val="0"/>
                <w:sz w:val="19"/>
              </w:rPr>
              <w:t>CTO</w:t>
            </w:r>
          </w:p>
        </w:tc>
      </w:tr>
      <w:tr>
        <w:tc>
          <w:tcPr>
            <w:tcW w:type="dxa" w:w="720"/>
            <w:shd w:val="clear" w:fill="EEF3F6"/>
          </w:tcPr>
          <w:p>
            <w:pPr>
              <w:jc w:val="center"/>
            </w:pPr>
            <w:r/>
            <w:r>
              <w:rPr>
                <w:b w:val="0"/>
                <w:sz w:val="19"/>
              </w:rPr>
              <w:t>T2</w:t>
            </w:r>
          </w:p>
        </w:tc>
        <w:tc>
          <w:tcPr>
            <w:tcW w:type="dxa" w:w="6624"/>
            <w:shd w:val="clear" w:fill="EEF3F6"/>
          </w:tcPr>
          <w:p>
            <w:r/>
            <w:r>
              <w:rPr>
                <w:b w:val="0"/>
                <w:sz w:val="19"/>
              </w:rPr>
              <w:t>Role-based access control + generated authorization matrix</w:t>
            </w:r>
          </w:p>
        </w:tc>
        <w:tc>
          <w:tcPr>
            <w:tcW w:type="dxa" w:w="1368"/>
            <w:shd w:val="clear" w:fill="E3F1E4"/>
          </w:tcPr>
          <w:p>
            <w:pPr>
              <w:jc w:val="center"/>
            </w:pPr>
            <w:r/>
            <w:r>
              <w:rPr>
                <w:b w:val="0"/>
                <w:sz w:val="19"/>
              </w:rPr>
              <w:t>Done</w:t>
            </w:r>
          </w:p>
        </w:tc>
        <w:tc>
          <w:tcPr>
            <w:tcW w:type="dxa" w:w="1080"/>
            <w:shd w:val="clear" w:fill="EEF3F6"/>
          </w:tcPr>
          <w:p>
            <w:pPr>
              <w:jc w:val="center"/>
            </w:pPr>
            <w:r/>
            <w:r>
              <w:rPr>
                <w:b w:val="0"/>
                <w:sz w:val="19"/>
              </w:rPr>
              <w:t>—</w:t>
            </w:r>
          </w:p>
        </w:tc>
        <w:tc>
          <w:tcPr>
            <w:tcW w:type="dxa" w:w="1296"/>
            <w:shd w:val="clear" w:fill="EEF3F6"/>
          </w:tcPr>
          <w:p>
            <w:r/>
            <w:r>
              <w:rPr>
                <w:b w:val="0"/>
                <w:sz w:val="19"/>
              </w:rPr>
              <w:t>CTO</w:t>
            </w:r>
          </w:p>
        </w:tc>
      </w:tr>
      <w:tr>
        <w:tc>
          <w:tcPr>
            <w:tcW w:type="dxa" w:w="720"/>
          </w:tcPr>
          <w:p>
            <w:pPr>
              <w:jc w:val="center"/>
            </w:pPr>
            <w:r/>
            <w:r>
              <w:rPr>
                <w:b w:val="0"/>
                <w:sz w:val="19"/>
              </w:rPr>
              <w:t>T3</w:t>
            </w:r>
          </w:p>
        </w:tc>
        <w:tc>
          <w:tcPr>
            <w:tcW w:type="dxa" w:w="6624"/>
          </w:tcPr>
          <w:p>
            <w:r/>
            <w:r>
              <w:rPr>
                <w:b w:val="0"/>
                <w:sz w:val="19"/>
              </w:rPr>
              <w:t>Query-layer multi-tenant isolation (fail-closed, regression-guarded)</w:t>
            </w:r>
          </w:p>
        </w:tc>
        <w:tc>
          <w:tcPr>
            <w:tcW w:type="dxa" w:w="1368"/>
            <w:shd w:val="clear" w:fill="E3F1E4"/>
          </w:tcPr>
          <w:p>
            <w:pPr>
              <w:jc w:val="center"/>
            </w:pPr>
            <w:r/>
            <w:r>
              <w:rPr>
                <w:b w:val="0"/>
                <w:sz w:val="19"/>
              </w:rPr>
              <w:t>Done</w:t>
            </w:r>
          </w:p>
        </w:tc>
        <w:tc>
          <w:tcPr>
            <w:tcW w:type="dxa" w:w="1080"/>
          </w:tcPr>
          <w:p>
            <w:pPr>
              <w:jc w:val="center"/>
            </w:pPr>
            <w:r/>
            <w:r>
              <w:rPr>
                <w:b w:val="0"/>
                <w:sz w:val="19"/>
              </w:rPr>
              <w:t>—</w:t>
            </w:r>
          </w:p>
        </w:tc>
        <w:tc>
          <w:tcPr>
            <w:tcW w:type="dxa" w:w="1296"/>
          </w:tcPr>
          <w:p>
            <w:r/>
            <w:r>
              <w:rPr>
                <w:b w:val="0"/>
                <w:sz w:val="19"/>
              </w:rPr>
              <w:t>CTO</w:t>
            </w:r>
          </w:p>
        </w:tc>
      </w:tr>
      <w:tr>
        <w:tc>
          <w:tcPr>
            <w:tcW w:type="dxa" w:w="720"/>
            <w:shd w:val="clear" w:fill="EEF3F6"/>
          </w:tcPr>
          <w:p>
            <w:pPr>
              <w:jc w:val="center"/>
            </w:pPr>
            <w:r/>
            <w:r>
              <w:rPr>
                <w:b w:val="0"/>
                <w:sz w:val="19"/>
              </w:rPr>
              <w:t>T4</w:t>
            </w:r>
          </w:p>
        </w:tc>
        <w:tc>
          <w:tcPr>
            <w:tcW w:type="dxa" w:w="6624"/>
            <w:shd w:val="clear" w:fill="EEF3F6"/>
          </w:tcPr>
          <w:p>
            <w:r/>
            <w:r>
              <w:rPr>
                <w:b w:val="0"/>
                <w:sz w:val="19"/>
              </w:rPr>
              <w:t>Authentication &amp; privileged-access audit logging</w:t>
            </w:r>
          </w:p>
        </w:tc>
        <w:tc>
          <w:tcPr>
            <w:tcW w:type="dxa" w:w="1368"/>
            <w:shd w:val="clear" w:fill="E3F1E4"/>
          </w:tcPr>
          <w:p>
            <w:pPr>
              <w:jc w:val="center"/>
            </w:pPr>
            <w:r/>
            <w:r>
              <w:rPr>
                <w:b w:val="0"/>
                <w:sz w:val="19"/>
              </w:rPr>
              <w:t>Done</w:t>
            </w:r>
          </w:p>
        </w:tc>
        <w:tc>
          <w:tcPr>
            <w:tcW w:type="dxa" w:w="1080"/>
            <w:shd w:val="clear" w:fill="EEF3F6"/>
          </w:tcPr>
          <w:p>
            <w:pPr>
              <w:jc w:val="center"/>
            </w:pPr>
            <w:r/>
            <w:r>
              <w:rPr>
                <w:b w:val="0"/>
                <w:sz w:val="19"/>
              </w:rPr>
              <w:t>—</w:t>
            </w:r>
          </w:p>
        </w:tc>
        <w:tc>
          <w:tcPr>
            <w:tcW w:type="dxa" w:w="1296"/>
            <w:shd w:val="clear" w:fill="EEF3F6"/>
          </w:tcPr>
          <w:p>
            <w:r/>
            <w:r>
              <w:rPr>
                <w:b w:val="0"/>
                <w:sz w:val="19"/>
              </w:rPr>
              <w:t>CTO</w:t>
            </w:r>
          </w:p>
        </w:tc>
      </w:tr>
      <w:tr>
        <w:tc>
          <w:tcPr>
            <w:tcW w:type="dxa" w:w="720"/>
          </w:tcPr>
          <w:p>
            <w:pPr>
              <w:jc w:val="center"/>
            </w:pPr>
            <w:r/>
            <w:r>
              <w:rPr>
                <w:b w:val="0"/>
                <w:sz w:val="19"/>
              </w:rPr>
              <w:t>T5</w:t>
            </w:r>
          </w:p>
        </w:tc>
        <w:tc>
          <w:tcPr>
            <w:tcW w:type="dxa" w:w="6624"/>
          </w:tcPr>
          <w:p>
            <w:r/>
            <w:r>
              <w:rPr>
                <w:b w:val="0"/>
                <w:sz w:val="19"/>
              </w:rPr>
              <w:t>Rate limiting &amp; account lockout</w:t>
            </w:r>
          </w:p>
        </w:tc>
        <w:tc>
          <w:tcPr>
            <w:tcW w:type="dxa" w:w="1368"/>
            <w:shd w:val="clear" w:fill="E3F1E4"/>
          </w:tcPr>
          <w:p>
            <w:pPr>
              <w:jc w:val="center"/>
            </w:pPr>
            <w:r/>
            <w:r>
              <w:rPr>
                <w:b w:val="0"/>
                <w:sz w:val="19"/>
              </w:rPr>
              <w:t>Done</w:t>
            </w:r>
          </w:p>
        </w:tc>
        <w:tc>
          <w:tcPr>
            <w:tcW w:type="dxa" w:w="1080"/>
          </w:tcPr>
          <w:p>
            <w:pPr>
              <w:jc w:val="center"/>
            </w:pPr>
            <w:r/>
            <w:r>
              <w:rPr>
                <w:b w:val="0"/>
                <w:sz w:val="19"/>
              </w:rPr>
              <w:t>—</w:t>
            </w:r>
          </w:p>
        </w:tc>
        <w:tc>
          <w:tcPr>
            <w:tcW w:type="dxa" w:w="1296"/>
          </w:tcPr>
          <w:p>
            <w:r/>
            <w:r>
              <w:rPr>
                <w:b w:val="0"/>
                <w:sz w:val="19"/>
              </w:rPr>
              <w:t>CTO</w:t>
            </w:r>
          </w:p>
        </w:tc>
      </w:tr>
      <w:tr>
        <w:tc>
          <w:tcPr>
            <w:tcW w:type="dxa" w:w="720"/>
            <w:shd w:val="clear" w:fill="EEF3F6"/>
          </w:tcPr>
          <w:p>
            <w:pPr>
              <w:jc w:val="center"/>
            </w:pPr>
            <w:r/>
            <w:r>
              <w:rPr>
                <w:b w:val="0"/>
                <w:sz w:val="19"/>
              </w:rPr>
              <w:t>T6</w:t>
            </w:r>
          </w:p>
        </w:tc>
        <w:tc>
          <w:tcPr>
            <w:tcW w:type="dxa" w:w="6624"/>
            <w:shd w:val="clear" w:fill="EEF3F6"/>
          </w:tcPr>
          <w:p>
            <w:r/>
            <w:r>
              <w:rPr>
                <w:b w:val="0"/>
                <w:sz w:val="19"/>
              </w:rPr>
              <w:t>TLS in transit; encryption at rest via managed providers</w:t>
            </w:r>
          </w:p>
        </w:tc>
        <w:tc>
          <w:tcPr>
            <w:tcW w:type="dxa" w:w="1368"/>
            <w:shd w:val="clear" w:fill="FCF3DA"/>
          </w:tcPr>
          <w:p>
            <w:pPr>
              <w:jc w:val="center"/>
            </w:pPr>
            <w:r/>
            <w:r>
              <w:rPr>
                <w:b w:val="0"/>
                <w:sz w:val="19"/>
              </w:rPr>
              <w:t>Partial</w:t>
            </w:r>
          </w:p>
        </w:tc>
        <w:tc>
          <w:tcPr>
            <w:tcW w:type="dxa" w:w="1080"/>
            <w:shd w:val="clear" w:fill="EEF3F6"/>
          </w:tcPr>
          <w:p>
            <w:pPr>
              <w:jc w:val="center"/>
            </w:pPr>
            <w:r/>
            <w:r>
              <w:rPr>
                <w:b w:val="0"/>
                <w:sz w:val="19"/>
              </w:rPr>
              <w:t>P2</w:t>
            </w:r>
          </w:p>
        </w:tc>
        <w:tc>
          <w:tcPr>
            <w:tcW w:type="dxa" w:w="1296"/>
            <w:shd w:val="clear" w:fill="EEF3F6"/>
          </w:tcPr>
          <w:p>
            <w:r/>
            <w:r>
              <w:rPr>
                <w:b w:val="0"/>
                <w:sz w:val="19"/>
              </w:rPr>
              <w:t>CTO</w:t>
            </w:r>
          </w:p>
        </w:tc>
      </w:tr>
    </w:tbl>
    <w:p/>
    <w:p>
      <w:r>
        <w:rPr>
          <w:i w:val="0"/>
          <w:sz w:val="21"/>
        </w:rPr>
        <w:t>Open technical items (carry into Phase 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0F2E4E"/>
          </w:tcPr>
          <w:p>
            <w:r/>
            <w:r>
              <w:rPr>
                <w:b/>
                <w:color w:val="FFFFFF"/>
                <w:sz w:val="19"/>
              </w:rPr>
              <w:t>ID</w:t>
            </w:r>
          </w:p>
        </w:tc>
        <w:tc>
          <w:tcPr>
            <w:tcW w:type="dxa" w:w="6624"/>
            <w:shd w:val="clear" w:fill="0F2E4E"/>
          </w:tcPr>
          <w:p>
            <w:r/>
            <w:r>
              <w:rPr>
                <w:b/>
                <w:color w:val="FFFFFF"/>
                <w:sz w:val="19"/>
              </w:rPr>
              <w:t>Task</w:t>
            </w:r>
          </w:p>
        </w:tc>
        <w:tc>
          <w:tcPr>
            <w:tcW w:type="dxa" w:w="1368"/>
            <w:shd w:val="clear" w:fill="0F2E4E"/>
          </w:tcPr>
          <w:p>
            <w:r/>
            <w:r>
              <w:rPr>
                <w:b/>
                <w:color w:val="FFFFFF"/>
                <w:sz w:val="19"/>
              </w:rPr>
              <w:t>Status</w:t>
            </w:r>
          </w:p>
        </w:tc>
        <w:tc>
          <w:tcPr>
            <w:tcW w:type="dxa" w:w="1080"/>
            <w:shd w:val="clear" w:fill="0F2E4E"/>
          </w:tcPr>
          <w:p>
            <w:r/>
            <w:r>
              <w:rPr>
                <w:b/>
                <w:color w:val="FFFFFF"/>
                <w:sz w:val="19"/>
              </w:rPr>
              <w:t>Priority</w:t>
            </w:r>
          </w:p>
        </w:tc>
        <w:tc>
          <w:tcPr>
            <w:tcW w:type="dxa" w:w="1296"/>
            <w:shd w:val="clear" w:fill="0F2E4E"/>
          </w:tcPr>
          <w:p>
            <w:r/>
            <w:r>
              <w:rPr>
                <w:b/>
                <w:color w:val="FFFFFF"/>
                <w:sz w:val="19"/>
              </w:rPr>
              <w:t>Owner</w:t>
            </w:r>
          </w:p>
        </w:tc>
      </w:tr>
      <w:tr>
        <w:tc>
          <w:tcPr>
            <w:tcW w:type="dxa" w:w="720"/>
          </w:tcPr>
          <w:p>
            <w:pPr>
              <w:jc w:val="center"/>
            </w:pPr>
            <w:r/>
            <w:r>
              <w:rPr>
                <w:b w:val="0"/>
                <w:sz w:val="19"/>
              </w:rPr>
              <w:t>T7</w:t>
            </w:r>
          </w:p>
        </w:tc>
        <w:tc>
          <w:tcPr>
            <w:tcW w:type="dxa" w:w="6624"/>
          </w:tcPr>
          <w:p>
            <w:r/>
            <w:r>
              <w:rPr>
                <w:b w:val="0"/>
                <w:sz w:val="19"/>
              </w:rPr>
              <w:t>Rotate exposed Supabase DB password (known leaked credential)</w:t>
            </w:r>
          </w:p>
        </w:tc>
        <w:tc>
          <w:tcPr>
            <w:tcW w:type="dxa" w:w="1368"/>
            <w:shd w:val="clear" w:fill="FBE7E7"/>
          </w:tcPr>
          <w:p>
            <w:pPr>
              <w:jc w:val="center"/>
            </w:pPr>
            <w:r/>
            <w:r>
              <w:rPr>
                <w:b w:val="0"/>
                <w:sz w:val="19"/>
              </w:rPr>
              <w:t>Not started</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T8</w:t>
            </w:r>
          </w:p>
        </w:tc>
        <w:tc>
          <w:tcPr>
            <w:tcW w:type="dxa" w:w="6624"/>
            <w:shd w:val="clear" w:fill="EEF3F6"/>
          </w:tcPr>
          <w:p>
            <w:r/>
            <w:r>
              <w:rPr>
                <w:b w:val="0"/>
                <w:sz w:val="19"/>
              </w:rPr>
              <w:t>Audit log tamper-evidence (hash chain / WORM storage)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T9</w:t>
            </w:r>
          </w:p>
        </w:tc>
        <w:tc>
          <w:tcPr>
            <w:tcW w:type="dxa" w:w="6624"/>
          </w:tcPr>
          <w:p>
            <w:r/>
            <w:r>
              <w:rPr>
                <w:b w:val="0"/>
                <w:sz w:val="19"/>
              </w:rPr>
              <w:t>Finish data-export/access audit coverage (risk CSV, cert PDF, credential views)</w:t>
            </w:r>
          </w:p>
        </w:tc>
        <w:tc>
          <w:tcPr>
            <w:tcW w:type="dxa" w:w="1368"/>
            <w:shd w:val="clear" w:fill="FCF3DA"/>
          </w:tcPr>
          <w:p>
            <w:pPr>
              <w:jc w:val="center"/>
            </w:pPr>
            <w:r/>
            <w:r>
              <w:rPr>
                <w:b w:val="0"/>
                <w:sz w:val="19"/>
              </w:rPr>
              <w:t>Partial</w:t>
            </w:r>
          </w:p>
        </w:tc>
        <w:tc>
          <w:tcPr>
            <w:tcW w:type="dxa" w:w="1080"/>
          </w:tcPr>
          <w:p>
            <w:pPr>
              <w:jc w:val="center"/>
            </w:pPr>
            <w:r/>
            <w:r>
              <w:rPr>
                <w:b w:val="0"/>
                <w:sz w:val="19"/>
              </w:rPr>
              <w:t>P1</w:t>
            </w:r>
          </w:p>
        </w:tc>
        <w:tc>
          <w:tcPr>
            <w:tcW w:type="dxa" w:w="1296"/>
          </w:tcPr>
          <w:p>
            <w:r/>
            <w:r>
              <w:rPr>
                <w:b w:val="0"/>
                <w:sz w:val="19"/>
              </w:rPr>
              <w:t>CTO</w:t>
            </w:r>
          </w:p>
        </w:tc>
      </w:tr>
      <w:tr>
        <w:tc>
          <w:tcPr>
            <w:tcW w:type="dxa" w:w="720"/>
            <w:shd w:val="clear" w:fill="EEF3F6"/>
          </w:tcPr>
          <w:p>
            <w:pPr>
              <w:jc w:val="center"/>
            </w:pPr>
            <w:r/>
            <w:r>
              <w:rPr>
                <w:b w:val="0"/>
                <w:sz w:val="19"/>
              </w:rPr>
              <w:t>T10</w:t>
            </w:r>
          </w:p>
        </w:tc>
        <w:tc>
          <w:tcPr>
            <w:tcW w:type="dxa" w:w="6624"/>
            <w:shd w:val="clear" w:fill="EEF3F6"/>
          </w:tcPr>
          <w:p>
            <w:r/>
            <w:r>
              <w:rPr>
                <w:b w:val="0"/>
                <w:sz w:val="19"/>
              </w:rPr>
              <w:t>Postgres Row-Level Security as a data-tier isolation backstop</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r>
        <w:tc>
          <w:tcPr>
            <w:tcW w:type="dxa" w:w="720"/>
          </w:tcPr>
          <w:p>
            <w:pPr>
              <w:jc w:val="center"/>
            </w:pPr>
            <w:r/>
            <w:r>
              <w:rPr>
                <w:b w:val="0"/>
                <w:sz w:val="19"/>
              </w:rPr>
              <w:t>T11</w:t>
            </w:r>
          </w:p>
        </w:tc>
        <w:tc>
          <w:tcPr>
            <w:tcW w:type="dxa" w:w="6624"/>
          </w:tcPr>
          <w:p>
            <w:r/>
            <w:r>
              <w:rPr>
                <w:b w:val="0"/>
                <w:sz w:val="19"/>
              </w:rPr>
              <w:t>Define &amp; enforce audit-log retention (recommend 13 months)</w:t>
            </w:r>
          </w:p>
        </w:tc>
        <w:tc>
          <w:tcPr>
            <w:tcW w:type="dxa" w:w="1368"/>
            <w:shd w:val="clear" w:fill="FBE7E7"/>
          </w:tcPr>
          <w:p>
            <w:pPr>
              <w:jc w:val="center"/>
            </w:pPr>
            <w:r/>
            <w:r>
              <w:rPr>
                <w:b w:val="0"/>
                <w:sz w:val="19"/>
              </w:rPr>
              <w:t>Not started</w:t>
            </w:r>
          </w:p>
        </w:tc>
        <w:tc>
          <w:tcPr>
            <w:tcW w:type="dxa" w:w="1080"/>
          </w:tcPr>
          <w:p>
            <w:pPr>
              <w:jc w:val="center"/>
            </w:pPr>
            <w:r/>
            <w:r>
              <w:rPr>
                <w:b w:val="0"/>
                <w:sz w:val="19"/>
              </w:rPr>
              <w:t>P2</w:t>
            </w:r>
          </w:p>
        </w:tc>
        <w:tc>
          <w:tcPr>
            <w:tcW w:type="dxa" w:w="1296"/>
          </w:tcPr>
          <w:p>
            <w:r/>
            <w:r>
              <w:rPr>
                <w:b w:val="0"/>
                <w:sz w:val="19"/>
              </w:rPr>
              <w:t>CTO</w:t>
            </w:r>
          </w:p>
        </w:tc>
      </w:tr>
      <w:tr>
        <w:tc>
          <w:tcPr>
            <w:tcW w:type="dxa" w:w="720"/>
            <w:shd w:val="clear" w:fill="EEF3F6"/>
          </w:tcPr>
          <w:p>
            <w:pPr>
              <w:jc w:val="center"/>
            </w:pPr>
            <w:r/>
            <w:r>
              <w:rPr>
                <w:b w:val="0"/>
                <w:sz w:val="19"/>
              </w:rPr>
              <w:t>T12</w:t>
            </w:r>
          </w:p>
        </w:tc>
        <w:tc>
          <w:tcPr>
            <w:tcW w:type="dxa" w:w="6624"/>
            <w:shd w:val="clear" w:fill="EEF3F6"/>
          </w:tcPr>
          <w:p>
            <w:r/>
            <w:r>
              <w:rPr>
                <w:b w:val="0"/>
                <w:sz w:val="19"/>
              </w:rPr>
              <w:t>Dependency/vulnerability scanning in CI + patch cadence</w:t>
            </w:r>
          </w:p>
        </w:tc>
        <w:tc>
          <w:tcPr>
            <w:tcW w:type="dxa" w:w="1368"/>
            <w:shd w:val="clear" w:fill="FBE7E7"/>
          </w:tcPr>
          <w:p>
            <w:pPr>
              <w:jc w:val="center"/>
            </w:pPr>
            <w:r/>
            <w:r>
              <w:rPr>
                <w:b w:val="0"/>
                <w:sz w:val="19"/>
              </w:rPr>
              <w:t>Not started</w:t>
            </w:r>
          </w:p>
        </w:tc>
        <w:tc>
          <w:tcPr>
            <w:tcW w:type="dxa" w:w="1080"/>
            <w:shd w:val="clear" w:fill="EEF3F6"/>
          </w:tcPr>
          <w:p>
            <w:pPr>
              <w:jc w:val="center"/>
            </w:pPr>
            <w:r/>
            <w:r>
              <w:rPr>
                <w:b w:val="0"/>
                <w:sz w:val="19"/>
              </w:rPr>
              <w:t>P1</w:t>
            </w:r>
          </w:p>
        </w:tc>
        <w:tc>
          <w:tcPr>
            <w:tcW w:type="dxa" w:w="1296"/>
            <w:shd w:val="clear" w:fill="EEF3F6"/>
          </w:tcPr>
          <w:p>
            <w:r/>
            <w:r>
              <w:rPr>
                <w:b w:val="0"/>
                <w:sz w:val="19"/>
              </w:rPr>
              <w:t>CTO</w:t>
            </w:r>
          </w:p>
        </w:tc>
      </w:tr>
    </w:tbl>
    <w:p/>
    <w:p>
      <w:r>
        <w:rPr>
          <w:i/>
          <w:color w:val="555F6B"/>
          <w:sz w:val="19"/>
        </w:rPr>
        <w:t>This is a working document. As items are completed, update Status and attach evidence in the GRC tool. None of the three standards is achieved until an external assessor has examined the operating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