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2"/>
            <w:shd w:fill="1B3A4B" w:val="clear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</w:tcPr>
          <w:p>
            <w:pPr>
              <w:spacing w:before="160" w:after="0" w:line="259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E08A1E"/>
                <w:sz w:val="22"/>
              </w:rPr>
              <w:t>TEMA</w:t>
            </w:r>
          </w:p>
          <w:p>
            <w:pPr>
              <w:spacing w:before="0"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52"/>
              </w:rPr>
              <w:t>Actividades de ocio y recreación</w:t>
            </w:r>
          </w:p>
          <w:p>
            <w:pPr>
              <w:spacing w:before="40" w:after="200"/>
            </w:pPr>
            <w:r>
              <w:rPr>
                <w:rFonts w:ascii="Calibri" w:hAnsi="Calibri" w:eastAsia="Calibri"/>
                <w:b w:val="0"/>
                <w:i/>
                <w:color w:val="D6E2EA"/>
                <w:sz w:val="24"/>
              </w:rPr>
              <w:t>Sergi, Álvaro y SebSoto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2"/>
            <w:shd w:fill="F4F7FA" w:val="clear"/>
            <w:tcBorders>
              <w:top w:val="single" w:sz="12" w:color="1F4E79"/>
              <w:left w:val="single" w:sz="12" w:color="1F4E79"/>
              <w:bottom w:val="single" w:sz="12" w:color="1F4E79"/>
              <w:right w:val="single" w:sz="12" w:color="1F4E79"/>
            </w:tcBorders>
          </w:tcPr>
          <w:p>
            <w:pPr>
              <w:spacing w:before="160" w:after="16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B3A4B"/>
                <w:sz w:val="28"/>
              </w:rPr>
              <w:t>¿Las plataformas de ocio y dopamina rápida, nos alejan de nosotros mismos y de lo que podemos llegar a ser?</w:t>
            </w:r>
          </w:p>
        </w:tc>
      </w:tr>
    </w:tbl>
    <w:p>
      <w:pPr>
        <w:spacing w:before="160" w:after="40"/>
      </w:pPr>
      <w:r>
        <w:rPr>
          <w:rFonts w:ascii="Calibri" w:hAnsi="Calibri" w:eastAsia="Calibri"/>
          <w:b/>
          <w:i w:val="0"/>
          <w:color w:val="E08A1E"/>
          <w:sz w:val="22"/>
        </w:rPr>
        <w:t>Fuente posible</w:t>
      </w:r>
    </w:p>
    <w:p>
      <w:pPr>
        <w:spacing w:before="0" w:after="200"/>
      </w:pPr>
      <w:r>
        <w:rPr>
          <w:rFonts w:ascii="Calibri" w:hAnsi="Calibri" w:eastAsia="Calibri"/>
          <w:b w:val="0"/>
          <w:i w:val="0"/>
          <w:color w:val="1F2933"/>
          <w:sz w:val="24"/>
        </w:rPr>
        <w:t>Artículos de otras investigaciones.</w:t>
      </w:r>
    </w:p>
    <w:p>
      <w:pPr>
        <w:spacing w:before="120" w:after="160"/>
      </w:pPr>
      <w:r>
        <w:rPr>
          <w:rFonts w:ascii="Calibri" w:hAnsi="Calibri" w:eastAsia="Calibri"/>
          <w:b/>
          <w:i w:val="0"/>
          <w:color w:val="1B3A4B"/>
          <w:sz w:val="32"/>
        </w:rPr>
        <w:t>Variables que necesitaría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9581"/>
      </w:tblGrid>
      <w:tr>
        <w:trPr>
          <w:cantSplit/>
        </w:trPr>
        <w:tc>
          <w:tcPr>
            <w:tcW w:type="dxa" w:w="5156"/>
            <w:shd w:fill="1F4E79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1</w:t>
            </w:r>
          </w:p>
        </w:tc>
        <w:tc>
          <w:tcPr>
            <w:tcW w:type="dxa" w:w="5156"/>
            <w:shd w:fill="E7F0F7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Porcentaje de gente exitosa que tiene redes sociales</w:t>
            </w:r>
          </w:p>
        </w:tc>
      </w:tr>
      <w:tr>
        <w:trPr>
          <w:cantSplit/>
        </w:trPr>
        <w:tc>
          <w:tcPr>
            <w:tcW w:type="dxa" w:w="5156"/>
            <w:shd w:fill="2E75B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2</w:t>
            </w:r>
          </w:p>
        </w:tc>
        <w:tc>
          <w:tcPr>
            <w:tcW w:type="dxa" w:w="5156"/>
            <w:shd w:fill="FFFFFF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Porcentaje de gente no exitosa que tiene redes sociales</w:t>
            </w:r>
          </w:p>
        </w:tc>
      </w:tr>
      <w:tr>
        <w:trPr>
          <w:cantSplit/>
        </w:trPr>
        <w:tc>
          <w:tcPr>
            <w:tcW w:type="dxa" w:w="5156"/>
            <w:shd w:fill="1F4E79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3</w:t>
            </w:r>
          </w:p>
        </w:tc>
        <w:tc>
          <w:tcPr>
            <w:tcW w:type="dxa" w:w="5156"/>
            <w:shd w:fill="E7F0F7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Denuncias y casos en los que la gente se obsesiona con las redes sociales</w:t>
            </w:r>
          </w:p>
        </w:tc>
      </w:tr>
      <w:tr>
        <w:trPr>
          <w:cantSplit/>
        </w:trPr>
        <w:tc>
          <w:tcPr>
            <w:tcW w:type="dxa" w:w="5156"/>
            <w:shd w:fill="2E75B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4</w:t>
            </w:r>
          </w:p>
        </w:tc>
        <w:tc>
          <w:tcPr>
            <w:tcW w:type="dxa" w:w="5156"/>
            <w:shd w:fill="FFFFFF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Anuncios y marketing</w:t>
            </w:r>
          </w:p>
        </w:tc>
      </w:tr>
      <w:tr>
        <w:trPr>
          <w:cantSplit/>
        </w:trPr>
        <w:tc>
          <w:tcPr>
            <w:tcW w:type="dxa" w:w="5156"/>
            <w:shd w:fill="1F4E79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5</w:t>
            </w:r>
          </w:p>
        </w:tc>
        <w:tc>
          <w:tcPr>
            <w:tcW w:type="dxa" w:w="5156"/>
            <w:shd w:fill="E7F0F7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Tiempo promedio en el que la gente con redes sociales está en el teléfono</w:t>
            </w:r>
          </w:p>
        </w:tc>
      </w:tr>
      <w:tr>
        <w:trPr>
          <w:cantSplit/>
        </w:trPr>
        <w:tc>
          <w:tcPr>
            <w:tcW w:type="dxa" w:w="5156"/>
            <w:shd w:fill="2E75B6" w:val="clear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120" w:after="120" w:line="259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6</w:t>
            </w:r>
          </w:p>
        </w:tc>
        <w:tc>
          <w:tcPr>
            <w:tcW w:type="dxa" w:w="5156"/>
            <w:shd w:fill="FFFFFF" w:val="clear"/>
            <w:tcBorders>
              <w:top w:val="single" w:sz="4" w:color="E7F0F7"/>
              <w:left w:val="single" w:sz="4" w:color="E7F0F7"/>
              <w:bottom w:val="single" w:sz="4" w:color="E7F0F7"/>
              <w:right w:val="single" w:sz="4" w:color="E7F0F7"/>
            </w:tcBorders>
          </w:tcPr>
          <w:p>
            <w:pPr>
              <w:spacing w:before="120" w:after="12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Búsquedas comunes entre gente exitosa y gente que no es exitosa</w:t>
            </w:r>
          </w:p>
        </w:tc>
      </w:tr>
    </w:tbl>
    <w:p>
      <w:pPr>
        <w:spacing w:before="320" w:after="160"/>
      </w:pPr>
      <w:r>
        <w:rPr>
          <w:rFonts w:ascii="Calibri" w:hAnsi="Calibri" w:eastAsia="Calibri"/>
          <w:b/>
          <w:i w:val="0"/>
          <w:color w:val="1B3A4B"/>
          <w:sz w:val="32"/>
        </w:rPr>
        <w:t>¿Por qué es útil?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2"/>
            <w:shd w:fill="FFF6E8" w:val="clear"/>
            <w:tcBorders>
              <w:top w:val="single" w:sz="12" w:color="E08A1E"/>
              <w:left w:val="single" w:sz="12" w:color="E08A1E"/>
              <w:bottom w:val="single" w:sz="12" w:color="E08A1E"/>
              <w:right w:val="single" w:sz="12" w:color="E08A1E"/>
            </w:tcBorders>
          </w:tcPr>
          <w:p>
            <w:pPr>
              <w:spacing w:before="160" w:after="160" w:line="259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F2933"/>
                <w:sz w:val="24"/>
              </w:rPr>
              <w:t>Nos permite saber si las redes sociales son realmente útiles o solo son un distractor para nosotros y si nos llega a impactar de forma negativa en nuestra vida.</w:t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