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  <w:jc w:val="left"/>
      </w:pPr>
      <w:r>
        <w:rPr>
          <w:rFonts w:ascii="Calibri" w:hAnsi="Calibri" w:eastAsia="Calibri"/>
          <w:b w:val="0"/>
          <w:i/>
          <w:color w:val="5A5A5A"/>
          <w:sz w:val="22"/>
        </w:rPr>
        <w:t>Grupo: Sergi, Álvaro y SebSoto</w:t>
      </w:r>
    </w:p>
    <w:p>
      <w:pPr>
        <w:spacing w:before="0" w:after="280" w:line="276" w:lineRule="auto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Tema: Actividades de ocio y recreación</w:t>
      </w:r>
    </w:p>
    <w:p>
      <w:pPr>
        <w:spacing w:before="80" w:after="240" w:line="276" w:lineRule="auto"/>
        <w:jc w:val="left"/>
      </w:pPr>
      <w:r>
        <w:rPr>
          <w:rFonts w:ascii="Calibri" w:hAnsi="Calibri" w:eastAsia="Calibri"/>
          <w:b w:val="0"/>
          <w:i w:val="0"/>
          <w:sz w:val="28"/>
        </w:rPr>
        <w:t>¿Las plataformas de ocio y dopamina rápida, nos alejan de nosotros mismos y de lo que podemos llegar a ser?</w:t>
      </w:r>
    </w:p>
    <w:p>
      <w:pPr>
        <w:spacing w:before="80" w:after="240"/>
      </w:pPr>
      <w:r>
        <w:rPr>
          <w:rFonts w:ascii="Calibri" w:hAnsi="Calibri" w:eastAsia="Calibri"/>
          <w:b/>
          <w:i w:val="0"/>
          <w:sz w:val="24"/>
        </w:rPr>
        <w:t xml:space="preserve">Fuente posible: </w:t>
      </w:r>
      <w:r>
        <w:rPr>
          <w:rFonts w:ascii="Calibri" w:hAnsi="Calibri" w:eastAsia="Calibri"/>
          <w:b w:val="0"/>
          <w:i w:val="0"/>
          <w:sz w:val="24"/>
        </w:rPr>
        <w:t>Artículos de otras investigaciones.</w:t>
      </w:r>
    </w:p>
    <w:p>
      <w:pPr>
        <w:spacing w:before="160" w:after="120" w:line="276" w:lineRule="auto"/>
        <w:jc w:val="left"/>
      </w:pPr>
      <w:r>
        <w:rPr>
          <w:rFonts w:ascii="Calibri" w:hAnsi="Calibri" w:eastAsia="Calibri"/>
          <w:b/>
          <w:i w:val="0"/>
          <w:color w:val="1F4E79"/>
          <w:sz w:val="26"/>
        </w:rPr>
        <w:t>Variables que necesitaría: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1. Porcentaje de gente exitosa que tiene redes sociales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2. Porcentaje de gente no exitosa que tiene redes sociales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3. Denuncias y casos en los que la gente se obsesiona con las redes sociales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4. Anuncios y marketing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5. Tiempo promedio en el que la gente con redes sociales está en el teléfono</w:t>
      </w:r>
    </w:p>
    <w:p>
      <w:pPr>
        <w:spacing w:before="40" w:after="40" w:line="276" w:lineRule="auto"/>
        <w:ind w:left="425"/>
      </w:pPr>
      <w:r>
        <w:rPr>
          <w:rFonts w:ascii="Calibri" w:hAnsi="Calibri" w:eastAsia="Calibri"/>
          <w:b w:val="0"/>
          <w:i w:val="0"/>
          <w:sz w:val="24"/>
        </w:rPr>
        <w:t>6. Búsquedas comunes entre gente exitosa y gente que no es exitosa</w:t>
      </w:r>
    </w:p>
    <w:p>
      <w:pPr>
        <w:spacing w:before="320" w:after="120" w:line="276" w:lineRule="auto"/>
        <w:jc w:val="left"/>
      </w:pPr>
      <w:r>
        <w:rPr>
          <w:rFonts w:ascii="Calibri" w:hAnsi="Calibri" w:eastAsia="Calibri"/>
          <w:b/>
          <w:i w:val="0"/>
          <w:color w:val="1F4E79"/>
          <w:sz w:val="26"/>
        </w:rPr>
        <w:t>¿Por qué es útil?</w:t>
      </w:r>
    </w:p>
    <w:p>
      <w:pPr>
        <w:spacing w:before="40" w:after="120" w:line="276" w:lineRule="auto"/>
        <w:jc w:val="left"/>
      </w:pPr>
      <w:r>
        <w:rPr>
          <w:rFonts w:ascii="Calibri" w:hAnsi="Calibri" w:eastAsia="Calibri"/>
          <w:b w:val="0"/>
          <w:i w:val="0"/>
          <w:sz w:val="24"/>
        </w:rPr>
        <w:t>Nos permite saber si las redes sociales son realmente útiles o solo son un distractor para nosotros y si nos llega a impactar de forma negativa en nuestra vida.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