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Proyecto: </w:t>
      </w:r>
      <w:r w:rsidDel="00000000" w:rsidR="00000000" w:rsidRPr="00000000">
        <w:rPr>
          <w:b w:val="1"/>
          <w:rtl w:val="0"/>
        </w:rPr>
        <w:t xml:space="preserve">MVP Web – Ingreso de Vehículos al Taller (PepsiCo)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Fecha: 2025-09-03</w:t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Versión: 1.0 (borrador)</w:t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Asignatura: PTY4614 – Portafolio de Título (Capstone)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rPr/>
      </w:pPr>
      <w:r w:rsidDel="00000000" w:rsidR="00000000" w:rsidRPr="00000000">
        <w:rPr>
          <w:rtl w:val="0"/>
        </w:rPr>
        <w:t xml:space="preserve">Institución: Duoc UC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 Equipo del proyecto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6"/>
        <w:gridCol w:w="2876"/>
        <w:gridCol w:w="2878"/>
        <w:tblGridChange w:id="0">
          <w:tblGrid>
            <w:gridCol w:w="2876"/>
            <w:gridCol w:w="2876"/>
            <w:gridCol w:w="28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 principales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 / Backend / Seguridad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Sebastián Miranda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y control (Gantt, riesgos, minutas); desarrollo API y lógica; RBAC y auditoría; reportes; despliegue en nube.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Analista UX / Frontend / QA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Guillermo Almendra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Levantamiento y validación de requisitos; mockups; desarrollo frontend; ejecución de pruebas; manuales y capacitación.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Contraparte PepsiCo (Patrocinador)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Alexis Gonzalez 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Aprobar ERS y diseño; facilitar acceso a información no sensible; validar demos y entrega final.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2. Antecedentes y justificación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Actualmente, el proceso de ingreso de vehículos al taller se realiza de forma manual (planillas y mensajería), con brechas de trazabilidad, tiempos de registro y coordinación entre roles. El proyecto propone un MVP web que centraliza el flujo Portería → Recepción → Ejecución → Cierre, usando la patente como llave para asegurar trazabilidad y consolidación de datos.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3. Propósito y objetivos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Propósito: Digitalizar y estandarizar el proceso de ingreso de vehículos al taller con trazabilidad en tiempo real.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Objetivo general: Diseñar, desarrollar y desplegar un MVP web responsivo con trazabilidad por patente, control por roles (RBAC), tablero de estados y reportes operativos, logrando una reducción en tiempos de registro.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Objetivos específicos: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Levantar y validar flujo y criterios de aceptación con la contraparte (diagrama + acta).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modelo de datos (Vehículos, OT, Tareas, Pausas, Evidencias, Usuarios/Roles, Bitácora).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registro por patente y gestión de OT/tareas con pausas con motivo y evidencias fotográficas.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Desarrollar tablero de estados y bitácora de portería (entradas/salidas).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reportes automáticos (entradas/salidas, horas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hombre, duración por etapa/pausa) con exportación.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pruebas funcionales/UX y documentar resultados; corregir hallazgos críticos.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documentación técnica, manuales y capacitación a usuarios clave.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4. Alcance del proyecto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 alcance (MVP):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ingreso por patente y datos básicos del vehículo.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y gestión de Órdenes de Trabajo y Tareas (inicio/pausa/reanudación/cierre) con motivo de pausa.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de evidencias fotográficas por tarea/OT.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Tablero por estados del taller y bitácora de portería (entradas/salidas con hora).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 operativos (entradas vs. salidas, horas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hombre, duración por etapa/pausa) y exportación CSV/PDF.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Perfiles de usuario y visibilidad por rol (RBAC); retención de 45–90 días; despliegue en la nube.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Fuera de alcance (Fase 1):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ERP/finanzas o con otros sistemas corporativos.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móvil nativa (se usará web responsiva).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Módulos de bodega/gestión de repuestos e inventario.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Analítica avanzada más allá de los KPI definidos.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5. Entregables y criterios de aceptación</w:t>
      </w:r>
    </w:p>
    <w:tbl>
      <w:tblPr>
        <w:tblStyle w:val="Table2"/>
        <w:tblW w:w="86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273"/>
        <w:gridCol w:w="2123"/>
        <w:gridCol w:w="2111"/>
        <w:tblGridChange w:id="0">
          <w:tblGrid>
            <w:gridCol w:w="2123"/>
            <w:gridCol w:w="2273"/>
            <w:gridCol w:w="2123"/>
            <w:gridCol w:w="21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Entregable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 (resumen)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Hito (Semana)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ERS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Documento de requisitos funcionales y no funcionales.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Flujo validado, reglas y CA firmados.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 + arquitectura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Modelo lógico (patente llave) y componentes web/BD.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Revisión y visto bueno de contraparte.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S3–S5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MVP funcional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Backend+Frontend+BD con tablero y bitácora.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Casos críticos pasan; demo OK.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Reporte de pruebas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Resultados, defectos y correcciones.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 críticos abiertos al cierre de pruebas.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Despliegue y manuales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Sistema en nube, guías y capacitación.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Guía y sesión registrada (30–45 min).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Acta de cierre y métricas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Antes/después en tiempos; lecciones; backlog.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Documento firmado.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S16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6. Requisitos de alto nivel</w:t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5"/>
        <w:gridCol w:w="2877"/>
        <w:gridCol w:w="2878"/>
        <w:tblGridChange w:id="0">
          <w:tblGrid>
            <w:gridCol w:w="2875"/>
            <w:gridCol w:w="2877"/>
            <w:gridCol w:w="28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Criterio de validación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RF‑01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Registrar ingreso por patente en portería.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Se crea registro con hora y patente válida.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RF‑02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Crear/gestionar OT y tareas con pausas (motivo).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Estados cambian y quedan bitácoras por usuario y hora.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RF‑03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Adjuntar evidencias fotográficas a tareas.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 suben/visualizan y se registran en BD/almacenamiento.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RF‑04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Visualizar tablero de estados y bitácora de entradas/salidas.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Tablero refleja estados en tiempo real; bitácora lista por día.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RF‑05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Generar reportes y exportar CSV/PDF.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Reportes muestran métricas correctas; exportación descargable.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RNF‑01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RBAC y auditoría mínima.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Usuarios solo ven lo autorizado; hay log de acciones clave.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RNF‑02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Rendimiento y disponibilidad básica.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Operación fluida en navegadores modernos; uptime acorde a piloto.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RNF‑03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Privacidad y retención.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Patentes ficticias en pruebas; retención 45–90 días en entorno de ensayo.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7. Supuestos y restricciones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Supuestos: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 de contraparte para validaciones breves (30–45 min).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 acotado al taller para observación y pruebas controladas.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cuentas cloud con free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para el piloto.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Plazo académico de 16 semanas.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sensibles y privacidad de imágenes/patentes; uso de datos ficticios cuando corresponda.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integraciones corporativas en la Fase 1 (MVP).</w:t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8. Riesgos iniciales y respuesta</w:t>
      </w:r>
    </w:p>
    <w:tbl>
      <w:tblPr>
        <w:tblStyle w:val="Table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6"/>
        <w:gridCol w:w="2154"/>
        <w:gridCol w:w="2169"/>
        <w:gridCol w:w="2151"/>
        <w:tblGridChange w:id="0">
          <w:tblGrid>
            <w:gridCol w:w="2156"/>
            <w:gridCol w:w="2154"/>
            <w:gridCol w:w="2169"/>
            <w:gridCol w:w="21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Prob./Impacto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Respuesta/Mitigación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Propietario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Baja disponibilidad de usuarios clave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M/M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Agendar con anticipación; minutas; pruebas remotas con datos de ejemplo.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Sebastián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Conectividad inestable en taller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M/M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Diseño ligero; reintentos; pruebas fuera de hora pico.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Guillermo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Privacidad de datos (patentes/fotos)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M/A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Patentes ficticias; difuminado; retención acotada; control de acceso.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Sebastián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Ampliación de alcance (scope creep)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M/M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Backlog de futuras iteraciones; congelar alcance del MVP.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Sebastián</w:t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9. Hitos y cronograma macro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2701"/>
        <w:gridCol w:w="2813"/>
        <w:tblGridChange w:id="0">
          <w:tblGrid>
            <w:gridCol w:w="3116"/>
            <w:gridCol w:w="2701"/>
            <w:gridCol w:w="28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Hito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Semana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Criterio de salida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Acta + EDT + Gantt + RACI + Riesgos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Documentos publicados y comunicados.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ERS aprobado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Aprobación de contraparte/docente.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Diseño validado (modelo/arquitectura/mockups)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V°B° de contraparte.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MVP funcional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S10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Demo interna OK.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Pruebas finalizadas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S13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 críticos abiertos.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Despliegue y capacitación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S15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Sistema operativo + sesión realizada.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Cierre y métricas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S16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Acta firmada + comparativo antes/después.</w:t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10. Plan de comunicación</w:t>
      </w:r>
    </w:p>
    <w:tbl>
      <w:tblPr>
        <w:tblStyle w:val="Table6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8"/>
        <w:gridCol w:w="2157"/>
        <w:gridCol w:w="2157"/>
        <w:tblGridChange w:id="0">
          <w:tblGrid>
            <w:gridCol w:w="2158"/>
            <w:gridCol w:w="2158"/>
            <w:gridCol w:w="2157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Destinatario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Contraparte PepsiCo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Reunión virtual + minuta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Semanal (30–45 min)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Sebastián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Docente guía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Correo + entrega en plataforma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Según calendario docente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Sebastián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Usuarios taller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Demostraciones breves in situ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S12 y S15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Guillermo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Equipo de proyecto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Canal de mensajería + issues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Diario (asincrónico)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</w:tr>
    </w:tbl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11. Criterios de éxito y métricas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Reducción en tiempo promedio de registro de ingreso versus proceso actual.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de estados y pausas por vehículo/OT visible en tablero y reportes.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defectos críticos abiertos al cierre de pruebas (S13).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operativo en la nube con usuarios y roles configurados; capacitación realizada.</w:t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12. Costos y presupuesto estimado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 priorizarán recursos free‑tier (base de datos, almacenamiento de objetos e infraestructura). Costos directos estimados: $0 a $50 USD (dominio opcional y/o excedentes de almacenamiento). El presupuesto se afinará en el Plan de Calidad y Costos (Fase de Diseño).</w:t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13. Aprobaciones</w:t>
      </w:r>
    </w:p>
    <w:tbl>
      <w:tblPr>
        <w:tblStyle w:val="Table7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6"/>
        <w:gridCol w:w="4961"/>
        <w:tblGridChange w:id="0">
          <w:tblGrid>
            <w:gridCol w:w="4786"/>
            <w:gridCol w:w="49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Nombre / Cargo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Firma / 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(PepsiCo)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  / ____-____-____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(Docente Guía)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  / ____-____-____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___________x_______________</w:t>
            </w:r>
          </w:p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Sebastián Miranda / jefe de Proyecto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____________x______________  /</w:t>
            </w:r>
            <w:r w:rsidDel="00000000" w:rsidR="00000000" w:rsidRPr="00000000">
              <w:rPr>
                <w:u w:val="single"/>
                <w:rtl w:val="0"/>
              </w:rPr>
              <w:t xml:space="preserve"> _04-09-2025__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GVPdDEasZTfnHP2ln5yvG0MLw==">CgMxLjA4AHIhMVZXSUNWNUZ2YjdHVGgtMkZoLWM4S2tNQVRqWi1jbEQ1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2025-09-03T04:26:00Z</dcterms:created>
  <dc:creator>python-docx</dc:creator>
</cp:coreProperties>
</file>