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22"/>
          <w:szCs w:val="22"/>
        </w:rPr>
      </w:pPr>
      <w:r w:rsidDel="00000000" w:rsidR="00000000" w:rsidRPr="00000000">
        <w:rPr>
          <w:rFonts w:ascii="Arial" w:cs="Arial" w:eastAsia="Arial" w:hAnsi="Arial"/>
          <w:sz w:val="22"/>
          <w:szCs w:val="22"/>
          <w:rtl w:val="0"/>
        </w:rPr>
        <w:t xml:space="preserve">Documento RBAC – PepsiCo APT</w:t>
      </w:r>
    </w:p>
    <w:p w:rsidR="00000000" w:rsidDel="00000000" w:rsidP="00000000" w:rsidRDefault="00000000" w:rsidRPr="00000000" w14:paraId="00000002">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1. Introducción</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El presente documento define el modelo de Control de Acceso Basado en Roles (RBAC) para el sistema MVP Web “Ingreso de Vehículos al Taller” desarrollado para PepsiCo Chile. El objetivo es asegurar que cada usuario acceda únicamente a las funciones necesarias para su rol, cumpliendo los principios de mínimo privilegio, trazabilidad y seguridad definidos en los requisitos no funcionales (RNF‑01 a RNF‑03).</w:t>
      </w:r>
    </w:p>
    <w:p w:rsidR="00000000" w:rsidDel="00000000" w:rsidP="00000000" w:rsidRDefault="00000000" w:rsidRPr="00000000" w14:paraId="00000004">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2. Alcance</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El modelo RBAC aplica a todos los módulos del MVP: Ingreso por Patente, Gestión de OT/Tareas, Evidencias, Tablero, Bitácora, Reportes, Administración de Usuarios y Auditoría. Se implementa tanto en el backend (middleware de autorización) como en el frontend (control de visibilidad por rol).</w:t>
      </w:r>
    </w:p>
    <w:p w:rsidR="00000000" w:rsidDel="00000000" w:rsidP="00000000" w:rsidRDefault="00000000" w:rsidRPr="00000000" w14:paraId="00000006">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3. Definición de roles y responsabilidades</w:t>
      </w:r>
    </w:p>
    <w:p w:rsidR="00000000" w:rsidDel="00000000" w:rsidP="00000000" w:rsidRDefault="00000000" w:rsidRPr="00000000" w14:paraId="00000007">
      <w:pPr>
        <w:rPr/>
      </w:pPr>
      <w:r w:rsidDel="00000000" w:rsidR="00000000" w:rsidRPr="00000000">
        <w:rPr>
          <w:rtl w:val="0"/>
        </w:rPr>
      </w:r>
    </w:p>
    <w:sdt>
      <w:sdtPr>
        <w:lock w:val="contentLocked"/>
        <w:id w:val="-1338221659"/>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Rol</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Permisos principales</w:t>
                </w:r>
              </w:p>
            </w:tc>
          </w:tr>
          <w:tr>
            <w:trPr>
              <w:cantSplit w:val="0"/>
              <w:tblHeader w:val="0"/>
            </w:trPr>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Portería</w:t>
                </w:r>
              </w:p>
            </w:tc>
            <w:tc>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Registra entradas y salidas de vehículos.</w:t>
                </w:r>
              </w:p>
            </w:tc>
            <w:tc>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Crear ingreso por patente, consultar bitácora, lectura de tablero.</w:t>
                </w:r>
              </w:p>
            </w:tc>
          </w:tr>
          <w:tr>
            <w:trPr>
              <w:cantSplit w:val="0"/>
              <w:tblHeader w:val="0"/>
            </w:trPr>
            <w:tc>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Mecánico / Administrativo</w:t>
                </w:r>
              </w:p>
            </w:tc>
            <w:tc>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Ejecuta tareas de mantenimiento y registro de evidencias.</w:t>
                </w:r>
              </w:p>
            </w:tc>
            <w:tc>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Crear/editar tareas, pausar/reanudar, subir evidencias.</w:t>
                </w:r>
              </w:p>
            </w:tc>
          </w:tr>
          <w:tr>
            <w:trPr>
              <w:cantSplit w:val="0"/>
              <w:tblHeader w:val="0"/>
            </w:trPr>
            <w:tc>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Coordinador / Supervisor</w:t>
                </w:r>
              </w:p>
            </w:tc>
            <w:tc>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Asigna y supervisa trabajo en taller.</w:t>
                </w:r>
              </w:p>
            </w:tc>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Crear/gestionar OT, ver tablero/bitácora y reportes.</w:t>
                </w:r>
              </w:p>
            </w:tc>
          </w:tr>
          <w:tr>
            <w:trPr>
              <w:cantSplit w:val="0"/>
              <w:tblHeader w:val="0"/>
            </w:trPr>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Indicadores / Analista</w:t>
                </w:r>
              </w:p>
            </w:tc>
            <w:tc>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Consulta información y genera reportes de operación.</w:t>
                </w:r>
              </w:p>
            </w:tc>
            <w:tc>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Visualizar reportes, exportar CSV/PDF.</w:t>
                </w:r>
              </w:p>
            </w:tc>
          </w:tr>
          <w:tr>
            <w:trPr>
              <w:cantSplit w:val="0"/>
              <w:trHeight w:val="1989.6264648437502" w:hRule="atLeast"/>
              <w:tblHeader w:val="0"/>
            </w:trPr>
            <w:tc>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Administrador</w:t>
                </w:r>
              </w:p>
            </w:tc>
            <w:tc>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Configura usuarios, roles, auditorías y políticas de retención.</w:t>
                </w:r>
              </w:p>
            </w:tc>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CRUD de usuarios/roles, gestión de retención, acceso total a reportes y bitácora.</w:t>
                </w:r>
              </w:p>
              <w:p w:rsidR="00000000" w:rsidDel="00000000" w:rsidP="00000000" w:rsidRDefault="00000000" w:rsidRPr="00000000" w14:paraId="0000001A">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01B">
      <w:pPr>
        <w:pStyle w:val="Heading2"/>
        <w:spacing w:after="80" w:before="360" w:lineRule="auto"/>
        <w:rPr>
          <w:rFonts w:ascii="Arial" w:cs="Arial" w:eastAsia="Arial" w:hAnsi="Arial"/>
          <w:color w:val="000000"/>
          <w:sz w:val="22"/>
          <w:szCs w:val="22"/>
        </w:rPr>
      </w:pPr>
      <w:bookmarkStart w:colFirst="0" w:colLast="0" w:name="_heading=h.wem1kfxstazk" w:id="0"/>
      <w:bookmarkEnd w:id="0"/>
      <w:r w:rsidDel="00000000" w:rsidR="00000000" w:rsidRPr="00000000">
        <w:rPr>
          <w:rFonts w:ascii="Arial" w:cs="Arial" w:eastAsia="Arial" w:hAnsi="Arial"/>
          <w:b w:val="0"/>
          <w:color w:val="4a86e8"/>
          <w:sz w:val="24"/>
          <w:szCs w:val="24"/>
          <w:rtl w:val="0"/>
        </w:rPr>
        <w:t xml:space="preserve">4. Matriz de permisos por módulo</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0810810810813"/>
        <w:gridCol w:w="1211.3513513513515"/>
        <w:gridCol w:w="1722.1621621621623"/>
        <w:gridCol w:w="1284.3243243243246"/>
        <w:gridCol w:w="1342.702702702703"/>
        <w:gridCol w:w="1138.3783783783783"/>
        <w:tblGridChange w:id="0">
          <w:tblGrid>
            <w:gridCol w:w="1941.0810810810813"/>
            <w:gridCol w:w="1211.3513513513515"/>
            <w:gridCol w:w="1722.1621621621623"/>
            <w:gridCol w:w="1284.3243243243246"/>
            <w:gridCol w:w="1342.702702702703"/>
            <w:gridCol w:w="1138.3783783783783"/>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Módulo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Portería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Mecánico/Adm.</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Supervisor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Indicadores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Admin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Ingreso por patente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Lectura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Lectura</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OT / Tareas / Pausas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Lectura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Lectura</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Evidencias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Lectura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Lectura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Tablero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Lectura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Lectura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Permitido</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Bitácora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Permitido</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Reportes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Permitido</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Administración de usuarios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Permitido</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Auditoría / Retención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No permitido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Permitido</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5. Políticas de seguridad y reglas de negocio</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 Cada usuario posee un único rol activo asignado por el Administrador.</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 Los cambios de rol o eliminación de usuarios requieren privilegios de administrador.</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 Todo intento de acceso no autorizado genera un evento en el log de auditoría.</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 Los tokens de sesión expiran tras 30 minutos de inactividad.</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 Los datos (patentes y fotos) se almacenan en entorno seguro y se purgan cada 45–90 días.</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 La visibilidad de opciones en el frontend se determina mediante claims JWT ('role').</w:t>
      </w:r>
    </w:p>
    <w:p w:rsidR="00000000" w:rsidDel="00000000" w:rsidP="00000000" w:rsidRDefault="00000000" w:rsidRPr="00000000" w14:paraId="0000005B">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6. Implementación técnica (resumen)</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El sistema utiliza autenticación mediante JWT (JSON Web Token) emitido tras login válido. Cada token incluye un claim 'role' que identifica el rol del usuario. El backend valida este claim en un middleware antes de permitir el acceso a rutas protegidas. En el frontend, se controlan los componentes visibles según el rol. Las acciones de alta, edición o eliminación se registran en una colección de auditoría.</w:t>
      </w:r>
    </w:p>
    <w:p w:rsidR="00000000" w:rsidDel="00000000" w:rsidP="00000000" w:rsidRDefault="00000000" w:rsidRPr="00000000" w14:paraId="0000005D">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7. Referencias</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 ERS_APT_PepsiCo.docx – Sección 3 (Actores y roles) y Sección 5 (RNF‑01 a RNF‑03)</w:t>
        <w:br w:type="textWrapping"/>
        <w:t xml:space="preserve">• Acta_Constitución_APT_PepsiCo.docx – Requisitos RNF y criterios de seguridad</w:t>
        <w:br w:type="textWrapping"/>
        <w:t xml:space="preserve">• Plan_Pruebas_Inicial_APT.xlsx – Casos TC‑015 a TC‑017 (acceso y auditoría)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OABQUreMVh2S8FG/lhehWq0ptg==">CgMxLjAaHwoBMBIaChgICVIUChJ0YWJsZS5scWdldTl3bWd0N3EyDmgud2VtMWtmeHN0YXprOAByITFSLVJ3N3MxUFJxVDQ4b1J0R21EM082T0ZzYnE3R0UtSQ==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