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Concept, Arc : Sign, Node : Object);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: Occurrence);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Node, Type, Arc.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Mapping Values.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Mapping Value Contexts (Statements).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Traversal: Resources Functional Occurrences IDs Labeled Property Grap (Resource in Occurrence Attributes / Graph / Mappings. Contextual Browsing: Resource Occurrence States).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(NodeRID:OID, TypeRID:OID, ArcRID:OID, NodeRID:OID);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