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 Model Message Encoding (Component Node types Message Adapters). Component Monads of Component Node types: Functional reactive stream / events pipelines Bus dataflow (selector signatures).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 encoded Messages. Component Monad of Node types instances pipelines: Node type handler of Message I/O translation / consumption / production). Messaging backend.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Component.of(node);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bus.connect(component);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(for bus.components)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next = component.flatMap(NodeType::consumeCurrentMessage);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(next until end of depth / list of nodes)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 next: enqueue produced messages. Reactive streams. Pipelines.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Model: Key / Value de-referenceable (for matching /embedding purposes) URIs having as host the peer that identified the Resource.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Nodes: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I/O: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I/O. Persistence. Events (event sourcing). DIDs.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Quads Meta Model.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Meta Model (Quad Layers / DOM):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production = Layer.of(resource);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rule = production.flatMap(ResourceType::matchRule);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Layer.of: Return matching hierarchy context type.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Resource::match: Production Rule.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Resource::matches: Rule Productions.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Layers: Productions in one layer are Rules of next layer (context, metaclass, instance, etc.).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Message as Resource (prompts).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FCA Ontology Matching.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role statements). Dimensional measures / state events. Shapes: transforms / rules.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