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 Model Message Encoding (Component Node types Message Adapters). Component Monads of Component Node types: Functional reactive stream / events pipelines Bus dataflow (selector signatures).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 encoded Messages. Component Monad of Node types instances pipelines: Node type handler of Message I/O translation / consumption / production). Messaging backend.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Component.of(node);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bus.connect(component);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(for bus.components)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next = component.flatMap(NodeType::consumeCurrentMessage);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(next until end of depth / list of nodes)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Bus next: enqueue produced messages. Reactive streams. Pipelines.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Nodes: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I/O: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I/O. Persistence. Events (event sourcing). DIDs Components Nodes.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Node.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Quads Component Node.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Node.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Node.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 Component Node.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production = Layer.of(resource);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rule = production.flatMap(ResourceType::matchRule);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Layer.of: Return matching hierarchy context type.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Resource::match: Production Rule.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Resource::matches: Rule Productions.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Layers: Productions in one layer are Rules of next layer (context, metaclass, instance, etc.).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Message as Resource (prompts).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Forms / Flows (Grammar / Protocol Builder. Prompts) Component Node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Augmented Resources Contexts / Interactions Services Component Node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OGM / Client Drivers Services Component Node.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Services / Mappings: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FCA Ontology Matching.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