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Graph encoding of data / schema / behavior. Dimensional / Grammar annotations. MetaGraph: augmentation / transforms (Messages). Features.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Parallel distributed graphs models augmentation / transforms synchronization (Messages). Event sourcing (distributed inferences). P2P / DIDs.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Augmentation. Ontology matching. Hypermedia augmentation protocol. Browser / Client APIs.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URIs API for annotating network retrieveable resources metadata. Content type / model driven augmentations / activations (models features / outputs). Subject attributes / values. Occurrences contexts / roles. Paths, pointers, locators. Example: annotate document URIs (parts, sections, mentions), annotate images URI (whole image description, coords: classes, individuals), annotate DB, table, row, column, value URIs, annotate / describe service / APIs URIs. Hypermedia protocol composable with other (described / annotated) APIs / resources. Example: Drive APIs.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triples, quads introduction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 Quads, Contexts, Occurrences, Attributes, Values.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Kind APIs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See Messages / Augmentation.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Model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Data Model layers population / augmentation.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 model (Grammars)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Schema Model layers population / augmentation.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 model: (Dimensional)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Dimensional Model layers population / augmentation. Purpose modelling. Concepts.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(models aggregations)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See Message Resolution.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Datasources / Backends / Services (URIs)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Addressing. IDs. Encodings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 (reactive models)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Messages: Transforms. Graph Execution Semantics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Message encoding semantics resolve transform execution resource set declaratively from MetaGraph / Models.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 (via Messages)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Activation (Statement / Entities : data).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Alignment (Kinds / Classes : context).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Aggregation (Flow / Behavior : interaction).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Messages describes declaratively augmentation steps materializing models context hierarchy layers.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Protocol: dialogs (distributed resource augmentation / sync)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Protocol: resource activation (hypermedia application browser)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 (APIs, Functional Semantics)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 implementation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