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Reactive: PUT registers callbacks IRIs (subscribe to updates).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Adapter (Connector / Client):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Adapter: Context layer (semiotic interpreter).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onCreate;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onRetrieve;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onUpdate;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onDelete;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Ontology Matching: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Functors: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Functors: model layers aggregations declarations / instances. Type, Role, Alignment levels. Domain / range: CSPO contexts (Template, Transform signatures). Transform: Mapping Message.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Message: Functor Declaration.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Augmentation: Functor Instance.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Type functor: stream. Mapping Resource(s).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Role functor: type contexts occurrences stream. Template Role(s).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Alignment functor: type occurrence attributes / values in contexts interactions stream. Augmentation Statement(s).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Encoding: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Encoding: metaclass, class, instance, occurrence (contextual / order / ops) CSPO IDs.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Model layers: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Predicate: 'kind', aggregates roles attributes / values. Grammar.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(OntResource, OntResource, OntResource, OntResource);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(Transform, Context, Message, Predicate);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(Mapping, Transform, Context, Message);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(Template, Mapping, Transform, Context);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(Augmentation, Template, Mapping, Transform);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(Model, Statement, Role,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(Kind, Entity, Model, Statement);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(Class, Kind, Entity, Model);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(Flow, Class, Kind, Entity);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(Behavior, Flow, Class, Kind); Statement, proposition.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(Unit, Value, Behavior, Flow);</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(Dimension, Unit, Value, Behavior);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0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