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Model / DOM Augmentations: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Aggregation: Context occurrences. Returns next layer Context statement(s) (children: next layers). To do.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Alignment: attributes / values. Returns next Context statement augmented (Context occurrence next attributes / values, layer siblings).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