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(Template, Resource, Resource, Resource);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Kind. Same hierarchy level ordered by ParentKind : previous, Kind : next relation.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Kind. Same hierarchy level ordered by ParentKind : previous, Kind : next relation.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