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 :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Wrappers Type Hierarchy: Reification, Functors Transforms Domains (subtypes transforms wrappers compatible with results wrapper types by inheritance.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Activation.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SPOs, Kinds, Statements Contexts. Functional flow.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API. Wrapper::getSet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Wrapper Wrapped CSPOs / Functional / OntResource. Root interface.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Wrappers: Resource hierarchy (Resources, Kinds, Statements, Mappings, Transforms). Wrapper Sets: Corresponding Class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 CSPO wrapped Resources (Quads) relative to context: SubjectKind Quad instance into Subject Quad relative to occurrence context (SubjectKind Occurrence for Subject Attributes / Values. Occurrence Resource Role.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CSPO Resources Set Wrapped Quad Functional API (Quad interface): getSet / getResource (this)  / getOntResource / getContext / getOccurrence / getAttribute / getValue / getQuadContext / getQuadSubject / getQuadPredicate / getQuadObject. Resource hierarchy mapping getters and setters (i.e.: Attribute / Predicate). Aggregation Transforms.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/ OntResources (Source URN / matching: wrapper / wrapped ID encodings).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scheme:wrapperType:wrapped Kind:wrappedID:occurrenceID..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(Class, Instance, Attribute, Value: Aggregate: Functional Form implemented in Quad interface.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 (and OntResources: Source URN / matching: wrapper / wrapped ID encodings.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