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Inference mechanisms for obtaining metadata from input statements and augmenting, for example, type information and models schema and transforms.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 (Activation), Schema (Aggregation), Behavior (Alignment):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Activation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Schema Aggregation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Behavior Alignment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 Sets Relations: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 : Kinds, SPOs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Templates : Kinds, SPO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: Kinds, SPO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Transforms : Kinds, SPO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Resource&lt;T extends OntResource&gt;::of(T extends OntResource);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getKind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getOntResource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getOccurrences : Type static instances list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unit / join / bind : Resource&lt;T extends OntResource&gt;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Map, flatMap, composition. Dynamic functional types / transforms: Kinds.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Class, Metaclass, Instance, Context, Occurrence, Role. Encoding: Functional Mappings / Transforms. Order. Relations, Data Flow Roles.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(Template, Resource, Resource, Resource);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Template : Kinds / SPOs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(Mapping, Kind, Kind, Kind);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(Transform, Context, Role, Occurrence);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(Context, Statement, Kind, Resource);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Services Facade: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MVC DCI REST HATEOAS / Functional APIs. Merge into OntResource APIs.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Aggregated Statements: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Relationship Relation Statements: Domain PK Statements. Kind interface for Functional Transforms.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Relationship: sameAs Statements.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