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getOccurrence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(Kinds, Resource, Resource, Resource);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Contexts : Kinds / SPOs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(Statement, Kind, Kind, Kind);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(Context, Transform, Transform, Transform);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(Mapping, Resource, ResourceMember / Op, Value);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Quads: Resource (type).of(Type inst)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insts occurrences: type static map: inst, list of occurs.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Resource&lt;T : OntResource&gt;::OntResource::unit / join / bind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types / transforms: Kinds.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(Resource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(Role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(Context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(Kind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Resources, Kinds, Statements, Contexts, Mappings, Transforms.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