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 : Resource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 : Resource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 : Resource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(ObjectKind, Attribute : Resource Predicate, Value : Resource Subject, Object);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Transforms : Mappings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Mappings : Statements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 : Subject. Predicate / Object Intersection. Occurrence: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 : Mapping.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Statement.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Kinds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Wrappers Type Hierarchy: Reification, Functors Transforms Domains (subtypes transforms wrappers compatible with results wrapper types by inheritance.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SPOs, Kinds, Statements Contexts. Functional flow.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API. Wrapper::getSet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Wrapper Wrapped CSPOs / Functional / OntResource. Root interface.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Wrappers: Resource hierarchy (Resources, Kinds, Statements, Mappings, Transforms). Wrapper Sets: Corresponding Class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 CSPO wrapped Resources (Quads) relative to context: SubjectKind Quad instance into Subject Quad relative to occurrence context (SubjectKind Occurrence for Subject Attributes / Values. Occurrence Resource Role.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Quad: CSPO Resources Set Wrapped Quad Functional API (Quad interface): getSet / getResource (this)  / getOntResource / getContext / getOccurrence / getAttribute / getValue / getQuadContext / getQuadSubject / getQuadPredicate / getQuadObject. Resource hierarchy mapping getters and setters (i.e.: Attribute / Predicate). Aggregation Transforms.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/ OntResources (Source URN / matching: wrapper / wrapped ID encodings).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scheme:wrapperType:wrapped Kind:wrappedID:occurrenceID..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Inputs: (Class, Instance, Attribute, Value): Aggregate: Functional Form implemented in Quad interface.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Resources wrap Quads  (and OntResources: Source URN / matching: wrapper / wrapped ID encodings.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