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Inference mechanisms for obtaining metadata from input statements and augmenting, for example, type information and models schema and transforms.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 (Activation), Schema (Aggregation), Behavior (Alignment):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Activation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Schema Aggregation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Behavior Alignment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 Sets Relations: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 : Kinds, SPOs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Context : Kinds, SPO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: Kinds, SPO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getKind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getOntResource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getOccurrence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Domain Object Members, i.e.: getSubjectKind.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Class, Metaclass, Instance, Context, Occurrence, Role. Encoding: Functional Mappings / Transforms. Order. Relations, Data Flow Roles.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(Statement, SubjectKind, Predicate, Object);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(Statement, Subject, PredicateKind, Object);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(Statement, Predicate, Subject, ObjectKind);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(Kinds, Resource, Resource, Resource);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Contexts : Kinds / SPOs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(Statement, Kind, Kind, Kind);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(Context, Transform, Transform, Transform);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(Mapping, Resource, ResourceMember / Op, Value);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Sample Statements: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(Relationship : Relationship Kind, Relation : Kind Statements, Role : Kind, Player : Resource);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(Working, workingRelationStmts, position, CTO);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Quads: Resource (type).of(Type inst)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insts occurrences: type static map: inst, list of occurs.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Resource&lt;T : OntResource&gt;::OntResource::unit / join / bind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Map, flatMap, composition. Dynamic types / transforms: Kinds.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(Resource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 (Role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 (Context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 (Kind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Resources, Kinds, Statements, Contexts, Mappings, Transforms.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(Relationship : Relationship Kind, Relation : Kind Statements, Role : Kind, Player : Resource);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(Working, workingRelationStmts, position, CTO);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