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/ Measures: Discrete / Dimensional. MVC / DCI OGM DOM CDI DDD Models APIs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SubjectContext&lt;Subject&gt;, Subject&lt;Context&gt; Statement. Data. SK(PK, OK). Monads / DataFlows.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Context&lt;PredicateContext&gt;, PredicateContext&lt;Context&gt; PredicateContext: Schema. PK(SK, OK). Monads / DataFlows.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Context&lt;ObjectContext&gt;, ObjectContext&lt;Context&gt; ObjectContext: Behavior. OK(PK, SK). Monads / DataFlows.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QVQfcq1ZAohVARex4vRR9XZ1A==">AMUW2mWWGeWB9Qm75AkyfjTYxu3844QJ2hRlOLUDqjLbIqxeANXYB8Ltjjlop2BYApJjpLOz5Rv8UogrjAK2wpvvSGMb7+e3eAhGKG03l1jJDC25hZam0Z4=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