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APIs. Built upon ResourceURN Occurrences Model roles: Metaclass, Class, Instance, Context, Occurrence, Role, Resource.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 roles.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Children aggregate parents in function of their childrens.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role Statement: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Model Hierarchy: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: Role : Occurrence : Metaclass : Class : Instance : Resource;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SubjectContext&lt;Subject&gt;, Subject&lt;Context&gt; Statement. Data. SK(PK, OK). Monads / DataFlows.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Context&lt;PredicateContext&gt;, PredicateContext&lt;Context&gt; PredicateContext: Schema. PK(SK, OK). Monads / DataFlows.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Context&lt;ObjectContext&gt;, ObjectContext&lt;Context&gt; ObjectContext: Behavior. OK(PK, SK). Monads / DataFlows.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PcMx2woRWlE4MWP1RnivSdJE1Q==">AMUW2mXaPMQLW1GHCTquUjI79FqECyerqbbHS0Sngy4PtOgY1mqRkg7aSR5Ygj6pOGGvdvr3IvXMiDxsu9Pggm8BHRhe9lsl5kQ9gnHfERqR3mL3RRy21nk=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