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embed entities (data, schema: information, behavior: knowledge) contexts and functional Relationships, Inferences and Protocol, Gestures, Actions encoded into Augmented Ontology identifiers.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W3C DIDs (Distributed Identifiers) of Models CRUD and Purpose behavior instances: DLT, Events Sourcing.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Services (OSGI) / Contexts Roles Interactions (Model hash resolver) Case Matching. OGM DOM / DCI Augmented Models Services. Facades.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Purpose (Context) / Gestures (Actions) / Steps (prompts / dialog) : Flow Protocol Abstractions. OGM DOM MVC DCI CDI DDD.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Components, Layers: Stacks Contexts CDI: hashing resolution. Applications Domains: integration / interoperation / matching.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Incorporate Domains: What a given Application Domain is about to another Application Domain (a is Customer in ERP, is Employee in Payroll). Discovery: Models, Services. Employee with good performance has discounts as a Customer.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 / Stacks encoding. Models /Domains / Protocols. MVC / DCI HATEOAS Uniform ResourceURN encoded Quads REST Facades.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Layers, Models. Encodings: Representations, Protocols, Facades.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HKT: Monads (Kinds), Transforms (Functions) from instance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pipelines: Models Monads Layers plus Service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Input / Output Quad Monad.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Resources Events Dataflow.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Plain RDF. CSPOs.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Aggregation Monad.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Aggregation. Registry. Controller. Available Contexts Interactions.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Sets Statements / Objects / Graph Resources, Kinds, Context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Alignment Monad.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Alignment. Naming. Model. Available Interactions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ResourceURN. Objects / Graph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Activation Monad.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Activation. Index. View. Key Value. Available Data Contexts.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OGM / DOM Objects. Objects / Graph Model.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Map Monad.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MapReduce.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FCA Contexts Lattices. ResourceURN URN bitstring Encoding.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OGM / DOM / DCI: OpenRDF Elmo / AliBaba. Beans Serialization. Templates: case matching.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  (Object, Attribute(Type, Object)*)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: Object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Attribute : Object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 : Naming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: Index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Controller : Registry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Actor : Roles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Purpose: Context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Gestures: Roles resolution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Actions: Interaction Steps (further matching Actions Purposes)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Hash Signatures. Declarative Model driven Subscriptions.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Models Layers Services APIs HATEOAS Protocols.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SPARQL Endpoint.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oN9PBiwhOFtobAn78HxspN4iA==">AMUW2mXsSiT9tdyE5OJzc2Kk9AYZ10WmNi6ISRTr1OIuRMyXGoB3R4y3V7MTmNEZuj2E5r4+RBtnRzZT4Ro5NzrnwKyGJ2/yJkzOBrpVth7tHLvsd2Lmxhc=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