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Calculus Inferences: States / Order.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Information, Knowledge: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OGM / DOM. MVC / DCI. CDI / DDD. Roles Mappings / Transforms / Composites.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 / Data: OGM / DOM (Resource, Instance).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Contexts / Controller. MVC / DCI (Class, Metaclass).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 / Views / Interactions: CDI / DDD (Occurrence, Role).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Data Model / Roles Interactions:  ResourceURN aggregated role Statements 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 (actor), Instance (occurrence).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Class (player), Metaclass (role).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Interactions: Occurrence,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APIs. Built upon ResourceURN Occurrences Model roles: Metaclass, Class, Instance, Context, Occurrence, Role, Resource.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 roles.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Children aggregate parents in function of their childrens.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role Statement: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Model Hierarchy: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: Role : Occurrence : Metaclass : Class : Instance : Resource;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Context&lt;Subject&gt;, Subject&lt;Context&gt; Statement. Data. SK(PK, OK). Monads / DataFlows.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Context&lt;Predicate&gt;, Predicate&lt;Context&gt; PredicateContext: Schema. PK(SK, OK). Monads / DataFlows.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Context&lt;Object&gt;, Object&lt;Context&gt; ObjectContext: Behavior. OK(PK, SK). Monads / DataFlows.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