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 MVC / DCI OGM DOM CDI DDD Models APIs.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Occurrences Model: Addressing / Encoding / Matching Layer. URNResource Occurrences: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APIs. Addressing: Model Traversal: MapReduce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(URNResource, Resource, Context, Kind);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(URNResource, Resource, Kind, Context);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(URNResource, Resource, Context, Kind);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(URNResource, Context, Kind, Resource);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(URNResource, Context, Resource, Kind);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(URNResource, Kind, Context, Resource);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(URNResource, Kind, Resource, Context);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Dataflow: Inputs populates Sets Model. Registry Aggregation.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Dataflow: Sets Model populates Occurrences Model. Naming Alignment.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Dataflow: FCA Model populates Relationship / Measures: Discrete / Dimensional. MVC / DCI OGM DOM CDI DDD from Occurrences Models APIs.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Dataflow: Metaclass, Class, Instance, Context, Occurrence, Role, Resource.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 Functional APIs.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 MVC / DCI OGM DOM CDI DDD Models APIs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SubjectContext&lt;Subject&gt;, Subject&lt;Context&gt; Statement. Data. SK(PK, OK). Monads / DataFlows.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Context&lt;PredicateContext&gt;, PredicateContext&lt;Context&gt; PredicateContext: Schema. PK(SK, OK). Monads / DataFlows.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Context&lt;ObjectContext&gt;, ObjectContext&lt;Context&gt; ObjectContext: Behavior. OK(PK, SK). Monads / DataFlows.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B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QVQfcq1ZAohVARex4vRR9XZ1A==">AMUW2mVj1Gn6sB/j39P4jXyNAiML5FMLJD4cT7Jql1EaWJFS/DDfAg/A7cX984H0dWyqSR+Uj0eqYdZ8FJ9eb4Iucv/Nba8fdFPHyYhImkJwabyNQRnh8Y4=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