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AD">
      <w:pPr>
        <w:contextualSpacing w:val="0"/>
        <w:rPr>
          <w:sz w:val="16"/>
          <w:szCs w:val="16"/>
        </w:rPr>
      </w:pPr>
      <w:r w:rsidDel="00000000" w:rsidR="00000000" w:rsidRPr="00000000">
        <w:rPr>
          <w:rtl w:val="0"/>
        </w:rPr>
      </w:r>
    </w:p>
    <w:p w:rsidR="00000000" w:rsidDel="00000000" w:rsidP="00000000" w:rsidRDefault="00000000" w:rsidRPr="00000000" w14:paraId="000000AE">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55">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