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5B">
      <w:pPr>
        <w:contextualSpacing w:val="0"/>
        <w:rPr>
          <w:b w:val="1"/>
          <w:sz w:val="16"/>
          <w:szCs w:val="16"/>
        </w:rPr>
      </w:pPr>
      <w:r w:rsidDel="00000000" w:rsidR="00000000" w:rsidRPr="00000000">
        <w:rPr>
          <w:rtl w:val="0"/>
        </w:rPr>
      </w:r>
    </w:p>
    <w:p w:rsidR="00000000" w:rsidDel="00000000" w:rsidP="00000000" w:rsidRDefault="00000000" w:rsidRPr="00000000" w14:paraId="0000005C">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5D">
      <w:pPr>
        <w:contextualSpacing w:val="0"/>
        <w:rPr>
          <w:sz w:val="16"/>
          <w:szCs w:val="16"/>
        </w:rPr>
      </w:pPr>
      <w:r w:rsidDel="00000000" w:rsidR="00000000" w:rsidRPr="00000000">
        <w:rPr>
          <w:rtl w:val="0"/>
        </w:rPr>
      </w:r>
    </w:p>
    <w:p w:rsidR="00000000" w:rsidDel="00000000" w:rsidP="00000000" w:rsidRDefault="00000000" w:rsidRPr="00000000" w14:paraId="0000005E">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5F">
      <w:pPr>
        <w:contextualSpacing w:val="0"/>
        <w:rPr>
          <w:sz w:val="16"/>
          <w:szCs w:val="16"/>
        </w:rPr>
      </w:pPr>
      <w:r w:rsidDel="00000000" w:rsidR="00000000" w:rsidRPr="00000000">
        <w:rPr>
          <w:rtl w:val="0"/>
        </w:rPr>
      </w:r>
    </w:p>
    <w:p w:rsidR="00000000" w:rsidDel="00000000" w:rsidP="00000000" w:rsidRDefault="00000000" w:rsidRPr="00000000" w14:paraId="00000060">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1">
      <w:pPr>
        <w:contextualSpacing w:val="0"/>
        <w:rPr>
          <w:sz w:val="16"/>
          <w:szCs w:val="16"/>
        </w:rPr>
      </w:pPr>
      <w:r w:rsidDel="00000000" w:rsidR="00000000" w:rsidRPr="00000000">
        <w:rPr>
          <w:rtl w:val="0"/>
        </w:rPr>
      </w:r>
    </w:p>
    <w:p w:rsidR="00000000" w:rsidDel="00000000" w:rsidP="00000000" w:rsidRDefault="00000000" w:rsidRPr="00000000" w14:paraId="00000062">
      <w:pPr>
        <w:contextualSpacing w:val="0"/>
        <w:rPr>
          <w:b w:val="1"/>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r w:rsidDel="00000000" w:rsidR="00000000" w:rsidRPr="00000000">
        <w:rPr>
          <w:rtl w:val="0"/>
        </w:rPr>
      </w:r>
    </w:p>
    <w:p w:rsidR="00000000" w:rsidDel="00000000" w:rsidP="00000000" w:rsidRDefault="00000000" w:rsidRPr="00000000" w14:paraId="00000063">
      <w:pPr>
        <w:contextualSpacing w:val="0"/>
        <w:rPr>
          <w:b w:val="1"/>
          <w:sz w:val="16"/>
          <w:szCs w:val="16"/>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5">
      <w:pPr>
        <w:contextualSpacing w:val="0"/>
        <w:rPr>
          <w:sz w:val="16"/>
          <w:szCs w:val="16"/>
        </w:rPr>
      </w:pPr>
      <w:r w:rsidDel="00000000" w:rsidR="00000000" w:rsidRPr="00000000">
        <w:rPr>
          <w:rtl w:val="0"/>
        </w:rPr>
      </w:r>
    </w:p>
    <w:p w:rsidR="00000000" w:rsidDel="00000000" w:rsidP="00000000" w:rsidRDefault="00000000" w:rsidRPr="00000000" w14:paraId="000000B6">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5D">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