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3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3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B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B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B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B9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B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B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0F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F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Hypermedia addressing and annotations. Extended content types.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