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Occurrence, Attribute, Value);</w:t>
        <w:br w:type="textWrapping"/>
        <w:t xml:space="preserve">(Context, Sign, Concept, Object);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context.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Subjects: attributes / values, contexts / roles.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Backend. URIs Services.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Resource(s). Context / Resource layers class API.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Datasources / Backends / Services.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of Augmentation shapes applyied to input contexts.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(Message, Aggregation);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Schema (Alignment, Activation);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Behavior (Transform, Specification);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Interaction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 Specification.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Message / Aggregation (data)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Alignment / Activation (schema)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Transform / Specification (behavior).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A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A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A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A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A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A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A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A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A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AF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B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B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B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C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C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C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Attribute, Value);</w:t>
        <w:br w:type="textWrapping"/>
        <w:t xml:space="preserve">(Role, Entity, Statement, Attribute);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class, instance, context, occurrence IDs.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URI, Resource, Statement, Kind, Context, Occurrence, Attribute, Value. Layer Context. Subject occurrence, context, role, attribute, value. Sets. Quads. Metaclass / Class / Instance. Class / Instance IDs.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Hypermedia addressing and annotations. Extended content types.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