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 / Context Kind) signatures. Resolution. Endpoints (provenance / contexts).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Context hierarchies.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Kind hierarchies / Grammars (CK, SK, PK, OK).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Models: Source, Dimensional Models. Encoded Grammar Template(s).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declaration (signatures) / algorithm.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 APIs: Augmentation.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Kind / Context hierarchies.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/ Models: Source, Grammar, Dimensional Models. Core Meta Model Augmentation Template(s): Encoding signatures Dataflow.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Resource ID. Encoded Resource contents (signature / occurrence). Augmentation: Resource set (Message) resolution from context over Template / Resource(s).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Message signature matches Template signature (across types hierarchies): Transform results Resource(s) for Augmentation predicates / mappings. Mappings: Meta Resources, Patterns,  Augmentations (in contexts), common hierarchy super Resource.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Contexts: Meta Resources / Contexts hierarchies. Models: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Source / Interaction, Schema: Encoding / Grammar, Behavior: Dimensional / Measures (marriage).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(Model, Behavior, Flow, Class);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