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(Participation, Role, Attribute, 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0BD">
      <w:pPr>
        <w:rPr/>
      </w:pPr>
      <w:r w:rsidDel="00000000" w:rsidR="00000000" w:rsidRPr="00000000">
        <w:rPr>
          <w:rtl w:val="0"/>
        </w:rPr>
        <w:t xml:space="preserve">(Occurrence, Subject, Participation, Role);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Activation (Augmentation): ToDo.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 (URIs):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Functor applied to context: Aggregation.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Functor applied to subject: Alignment.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Functor applied to predicate: Activation.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Functor applied to object: members traversal.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Augmentation: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