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2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AMUW2mUmUeozX7Z/WMul1piw5nF4MoVaIyncrnIFLlthykJ1pyJmjUpIHYXk1EOsxI26uZX/gp9ie6ePH/DB6jr/BUJ2sblltmiBBznH5IvHAdpM85MsW2I=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