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AMUW2mUNyyII6b2JgrUyWRooJYsCr2gUyEOV6XYRWE5146U2OCdRZL352mKKYe4Uq3KFhnUAKUg+2EMuaP41J7ddi5O/ssXeApFthpZFz3YlH1OP2Udlol4=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