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((aTimeDimension : aProduct, (aMeasure : aProduct, aProductPrice)));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AMUW2mUf2RWquFU9pbu8Fwopx8LBxOAtfSpVYFsF6LzrRJfDRE4U/AF182sanfJ2CJolQShnjrNv9nD07AI1PAdB20hZgZEejS/wPeeub1gKZ1Tu/v0gFjE=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