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Statements : Nested Kinds Hierarchy Aggregated Occurrence Context Statements (order: single / married)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 wrapping matching case classes instances in Statement Occurrence Context. Role in Statement: case class given. URI: Statement case class role instance URI. Kinds case matching aggregates reified Kind Context URIs in corresponding Kind case classes.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3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3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AMUW2mW93MNuSbs9+r0VohlwaOmblC8eIx5IGFUftlqcJsU5R2dMmEtBZDea+C4iWymPIQJVIJCEUdCH6xVg+Vjvswp2X1pBAa9YZOA+csxDCEpu9ogzHsU=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