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Role Attributes / Values, reified Context IDs URIs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 wrapping matching case classes instances in Statement Occurrence Context. Role in Statement: case class given. URI: Statement case class role instance URI. Kinds case matching aggregates reified Kind Context URIs in corresponding Kind case classes.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3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3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3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3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3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3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3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4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6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6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6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6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6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6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AMUW2mUDyBenWLsFgg0eDb8jxgxnsvNiFLqD2Ixkr0rNxs6OXRBX8PXMs/YP5mkT2Ayx1P3TIw8UXNpQLDdpnpaJRPYVP1dDjCVcQS4Zrp9k2jDULONL0/s=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