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Encodings: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Functional / Signature IDs.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Grammars.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Interaction Model: I/O, Dialog.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Algorithm: parsing, declarative.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Message: Resource.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 event.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Resource ID / Set specification.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Template: Resource.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 state.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Transform: Resource.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Results (dataflows).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Materialize.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Model: RDF. Resource layers.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Reified Models. Upper (Semiotic / Dimensional) Alignment.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Ontology / Persistence.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Functional Reference Model.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Ontology Matching.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 CRUD: listen / publishes.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