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Reference Model / Occurrences annotations matrix: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Context: ID;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Object : Context;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Sign : Object;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 : Sign;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Labeled Property Graph annotations example. Augments Reference Model. Statement example, Statement context aggregates SPO annotations (Statement occurrences data in other Reference Model layers contexts):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Resource : Value (Resource, Resource,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Statement : Resource (Statement, Resource, Resource,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Role : Statement (Statement, Role, Resource, Resource);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Relationship : Relation (Relationship, Role, Kind, Relation); 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*: Relationship: Aggregated Relation Statement Relation (Object) Roles / Kinds.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Intension / Extension: S / 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sub / super hiers, containment: P / 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 reification: Relation statement object: relation instance. a: Role / b: Kind: relation ends. (a): Role reifying rel attrs / values. (b): Kind Resource reifying rel subject (rel players).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Context Monad &amp; type hierarchy (AST). CSPO parameterized types &amp; aggregation (layers hierarchies specializations).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Reference Model / Occurrences annotations matrix: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Lattice / FCA: Contexts / Resources. Objects / Attributes (Contexts instances axes). (X, Y): Z (for corresponding pair types / functional transforms).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IDs / bitstring encodings. Algebraic / arithmetic activation flows / templates / transforms metadata encoded selectors. Vector Space Model quads polygon embeddings.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DDD: Declarative AST / Dataflow VM. Runtime. Encodings (layers / messages / activations). Event sourcing backends (Blockchain). Patterns (DCI).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RDFS / OWL / Graph Backend: Reified Metamodel. Labeled Property Graph. APIs.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Functional Meta Model Context Layers. Reactive streams. Match / Template Selectors. API.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Stream Resources Connectors (P2P Connector Bundles Context I/O). Dataflow. Backends / Augmentations / Endpoints model layers. APIs (reactive / events).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Layered abstraction levels streams options / menu semantics (REST). Forms / Flows. Browse, match / transforms high level APIs. HATEOAS CRUD / Flows.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Patterns. Input formats. Sample data.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