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(Layers Roles) Population / Aggregation (Layers: MapReduce).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 Encoding. Flows. Order (types: dataflow signatures domain / range, instances: dimensional attributes).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(FCA / Monads / Transforms)..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 (grammar: infer available messages).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 (infer / parse Messages).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Relations).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 of Entity Kinds).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 signatures.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OGM. TMDM.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(Type : Value). TMRM.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