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 response statements. FCA / Transforms synchronization (events / signatures).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Instantiate DOM Monads from FCA Context (Wrapper type: Layer Context Role, values: FCA Objects) / Transforms (FCA Concepts / matching signature Resource functions / mappings concepts lattice flows). Aggregation / concepts lattice objects / attributes.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